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8" w:lineRule="exact"/>
        <w:jc w:val="left"/>
        <w:textAlignment w:val="auto"/>
        <w:rPr>
          <w:rFonts w:hint="default" w:ascii="黑体" w:hAnsi="黑体" w:eastAsia="黑体" w:cs="黑体"/>
          <w:sz w:val="36"/>
          <w:szCs w:val="44"/>
          <w:lang w:val="en" w:eastAsia="zh-CN"/>
        </w:rPr>
      </w:pPr>
      <w:r>
        <w:rPr>
          <w:rFonts w:hint="eastAsia" w:ascii="黑体" w:hAnsi="黑体" w:eastAsia="黑体" w:cs="黑体"/>
          <w:sz w:val="36"/>
          <w:szCs w:val="44"/>
          <w:lang w:eastAsia="zh-CN"/>
        </w:rPr>
        <w:t>附件</w:t>
      </w:r>
      <w:r>
        <w:rPr>
          <w:rFonts w:hint="default" w:ascii="黑体" w:hAnsi="黑体" w:eastAsia="黑体" w:cs="黑体"/>
          <w:sz w:val="36"/>
          <w:szCs w:val="44"/>
          <w:lang w:val="en" w:eastAsia="zh-CN"/>
        </w:rPr>
        <w:t>2</w:t>
      </w:r>
    </w:p>
    <w:p>
      <w:pPr>
        <w:keepNext w:val="0"/>
        <w:keepLines w:val="0"/>
        <w:pageBreakBefore w:val="0"/>
        <w:widowControl w:val="0"/>
        <w:kinsoku/>
        <w:wordWrap/>
        <w:overflowPunct/>
        <w:topLinePunct w:val="0"/>
        <w:autoSpaceDE/>
        <w:autoSpaceDN/>
        <w:bidi w:val="0"/>
        <w:adjustRightInd/>
        <w:snapToGrid/>
        <w:spacing w:before="0" w:after="0" w:line="588" w:lineRule="exact"/>
        <w:jc w:val="center"/>
        <w:textAlignment w:val="auto"/>
        <w:rPr>
          <w:rFonts w:hint="eastAsia" w:ascii="方正小标宋简体" w:hAnsi="方正小标宋简体" w:eastAsia="方正小标宋简体" w:cs="方正小标宋简体"/>
          <w:sz w:val="36"/>
          <w:szCs w:val="44"/>
          <w:lang w:eastAsia="zh-CN"/>
        </w:rPr>
      </w:pPr>
    </w:p>
    <w:p>
      <w:pPr>
        <w:keepNext w:val="0"/>
        <w:keepLines w:val="0"/>
        <w:pageBreakBefore w:val="0"/>
        <w:widowControl w:val="0"/>
        <w:kinsoku/>
        <w:wordWrap/>
        <w:overflowPunct/>
        <w:topLinePunct w:val="0"/>
        <w:autoSpaceDE/>
        <w:autoSpaceDN/>
        <w:bidi w:val="0"/>
        <w:adjustRightInd/>
        <w:snapToGrid/>
        <w:spacing w:before="0" w:after="0" w:line="588" w:lineRule="exact"/>
        <w:jc w:val="center"/>
        <w:textAlignment w:val="auto"/>
        <w:rPr>
          <w:rFonts w:hint="eastAsia" w:ascii="方正小标宋简体" w:hAnsi="方正小标宋简体" w:eastAsia="方正小标宋简体" w:cs="方正小标宋简体"/>
          <w:sz w:val="36"/>
          <w:szCs w:val="44"/>
          <w:lang w:eastAsia="zh-CN"/>
        </w:rPr>
      </w:pPr>
      <w:r>
        <w:rPr>
          <w:rFonts w:hint="eastAsia" w:ascii="方正小标宋简体" w:hAnsi="方正小标宋简体" w:eastAsia="方正小标宋简体" w:cs="方正小标宋简体"/>
          <w:sz w:val="36"/>
          <w:szCs w:val="44"/>
          <w:lang w:eastAsia="zh-CN"/>
        </w:rPr>
        <w:t>《财政部关于加快推进会计数智化工作的指导意见</w:t>
      </w:r>
    </w:p>
    <w:p>
      <w:pPr>
        <w:keepNext w:val="0"/>
        <w:keepLines w:val="0"/>
        <w:pageBreakBefore w:val="0"/>
        <w:widowControl w:val="0"/>
        <w:kinsoku/>
        <w:wordWrap/>
        <w:overflowPunct/>
        <w:topLinePunct w:val="0"/>
        <w:autoSpaceDE/>
        <w:autoSpaceDN/>
        <w:bidi w:val="0"/>
        <w:adjustRightInd/>
        <w:snapToGrid/>
        <w:spacing w:before="0" w:after="0" w:line="588" w:lineRule="exact"/>
        <w:jc w:val="center"/>
        <w:textAlignment w:val="auto"/>
        <w:rPr>
          <w:rFonts w:hint="eastAsia" w:ascii="方正小标宋简体" w:hAnsi="方正小标宋简体" w:eastAsia="方正小标宋简体" w:cs="方正小标宋简体"/>
          <w:sz w:val="36"/>
          <w:szCs w:val="44"/>
          <w:lang w:eastAsia="zh-CN"/>
        </w:rPr>
      </w:pPr>
      <w:r>
        <w:rPr>
          <w:rFonts w:hint="eastAsia" w:ascii="方正小标宋简体" w:hAnsi="方正小标宋简体" w:eastAsia="方正小标宋简体" w:cs="方正小标宋简体"/>
          <w:sz w:val="36"/>
          <w:szCs w:val="44"/>
          <w:lang w:eastAsia="zh-CN"/>
        </w:rPr>
        <w:t>（征求意见稿）》起草说明</w:t>
      </w:r>
    </w:p>
    <w:p>
      <w:pPr>
        <w:keepNext w:val="0"/>
        <w:keepLines w:val="0"/>
        <w:pageBreakBefore w:val="0"/>
        <w:kinsoku/>
        <w:wordWrap/>
        <w:overflowPunct/>
        <w:topLinePunct w:val="0"/>
        <w:autoSpaceDE/>
        <w:autoSpaceDN/>
        <w:bidi w:val="0"/>
        <w:adjustRightInd/>
        <w:snapToGrid/>
        <w:spacing w:before="0" w:after="0" w:line="588" w:lineRule="exact"/>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before="0" w:after="0" w:line="588" w:lineRule="exact"/>
        <w:ind w:firstLine="640" w:firstLineChars="200"/>
        <w:jc w:val="left"/>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为深入贯彻党的二十大和二十届历次全会精神，积极应对人工智能等现代信息技术对会计行业的深刻变革，推动我国会计工作迈向数智化新阶段，根据会计法和会计改革与发展“十五五”规划有关要求，我们研究起草了《财政部关于加快推进会计数智化工作的指导意见》（以下简称《指导意见》）征求意见稿。现将有关情况说明如下：</w:t>
      </w:r>
    </w:p>
    <w:p>
      <w:pPr>
        <w:keepNext w:val="0"/>
        <w:keepLines w:val="0"/>
        <w:pageBreakBefore w:val="0"/>
        <w:widowControl w:val="0"/>
        <w:kinsoku/>
        <w:wordWrap/>
        <w:overflowPunct/>
        <w:topLinePunct w:val="0"/>
        <w:autoSpaceDE/>
        <w:autoSpaceDN/>
        <w:bidi w:val="0"/>
        <w:adjustRightInd/>
        <w:snapToGrid/>
        <w:spacing w:before="0" w:after="0" w:line="588"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一、起草背景与意义</w:t>
      </w:r>
    </w:p>
    <w:p>
      <w:pPr>
        <w:keepNext w:val="0"/>
        <w:keepLines w:val="0"/>
        <w:pageBreakBefore w:val="0"/>
        <w:widowControl w:val="0"/>
        <w:kinsoku/>
        <w:wordWrap/>
        <w:overflowPunct/>
        <w:topLinePunct w:val="0"/>
        <w:autoSpaceDE/>
        <w:autoSpaceDN/>
        <w:bidi w:val="0"/>
        <w:adjustRightInd/>
        <w:snapToGrid/>
        <w:spacing w:before="0" w:after="0" w:line="588"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我国会计信息化发展先后经历了会计电算化、会计信息化两个重要阶段。1994年财政部印发《会计电算化管理办法》，标志着我国正式迈入以计算机替代手工记账为核心的会计电算化阶段。2009年财政部印发《关于全面推进我国会计信息化工作的指导意见》（财会〔2009〕6号），推动会计工作向网络化、标准化方向发展，开启了会计信息化全面建设的新阶段。经过多年发展，我国会计信息化建设已取得明显成效，单位会计信息化建设逐步完善，会计数据标准体系基本建立，会计信息化支撑会计工作的效果逐步显现。</w:t>
      </w:r>
    </w:p>
    <w:p>
      <w:pPr>
        <w:keepNext w:val="0"/>
        <w:keepLines w:val="0"/>
        <w:pageBreakBefore w:val="0"/>
        <w:widowControl w:val="0"/>
        <w:kinsoku/>
        <w:wordWrap/>
        <w:overflowPunct/>
        <w:topLinePunct w:val="0"/>
        <w:autoSpaceDE/>
        <w:autoSpaceDN/>
        <w:bidi w:val="0"/>
        <w:adjustRightInd/>
        <w:snapToGrid/>
        <w:spacing w:before="0" w:after="0" w:line="588"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当前，以人工智能为代表的新一代信息技术加速突破应用，正深刻驱动经济社会各领域从信息化迈向数智化。“十五五”规划在科技创新、产业体系建设等方面多次提及“数智化”一词。“数智化”已然成为“十五五”时期推动经济社会高质量发展、建设数字中国的核心关键词之一。</w:t>
      </w:r>
      <w:r>
        <w:rPr>
          <w:rFonts w:hint="eastAsia" w:ascii="仿宋_GB2312" w:hAnsi="仿宋_GB2312" w:eastAsia="仿宋_GB2312" w:cs="仿宋_GB2312"/>
          <w:b w:val="0"/>
          <w:bCs w:val="0"/>
          <w:sz w:val="32"/>
          <w:szCs w:val="32"/>
          <w:highlight w:val="none"/>
          <w:lang w:val="en-US" w:eastAsia="zh-CN"/>
        </w:rPr>
        <w:t>会计</w:t>
      </w:r>
      <w:r>
        <w:rPr>
          <w:rFonts w:hint="eastAsia" w:ascii="仿宋_GB2312" w:hAnsi="仿宋_GB2312" w:eastAsia="仿宋_GB2312" w:cs="仿宋_GB2312"/>
          <w:b w:val="0"/>
          <w:bCs w:val="0"/>
          <w:sz w:val="32"/>
          <w:szCs w:val="32"/>
          <w:lang w:val="en-US" w:eastAsia="zh-CN"/>
        </w:rPr>
        <w:t>数智化以标准化为基础、数字化为核心、智能化为目标，强调在数字化基础上实现自动化处理、智能化决策，是会计信息化发展的高级阶段和必然方向。为推进会计数智化工作，从当前会计改革实践和经济社会发展需求出发，研究起草《指导意见》主要有以下几方面考虑：</w:t>
      </w:r>
    </w:p>
    <w:p>
      <w:pPr>
        <w:keepNext w:val="0"/>
        <w:keepLines w:val="0"/>
        <w:pageBreakBefore w:val="0"/>
        <w:widowControl w:val="0"/>
        <w:kinsoku/>
        <w:wordWrap/>
        <w:overflowPunct/>
        <w:topLinePunct w:val="0"/>
        <w:autoSpaceDE/>
        <w:autoSpaceDN/>
        <w:bidi w:val="0"/>
        <w:adjustRightInd/>
        <w:snapToGrid/>
        <w:spacing w:before="0" w:after="0" w:line="588" w:lineRule="exact"/>
        <w:ind w:firstLine="642"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一是贯彻高质量发展要求、服务中国式现代化建设的必然选择。</w:t>
      </w:r>
      <w:r>
        <w:rPr>
          <w:rFonts w:hint="eastAsia" w:ascii="仿宋_GB2312" w:hAnsi="仿宋_GB2312" w:eastAsia="仿宋_GB2312" w:cs="仿宋_GB2312"/>
          <w:b w:val="0"/>
          <w:bCs w:val="0"/>
          <w:sz w:val="32"/>
          <w:szCs w:val="32"/>
          <w:lang w:val="en-US" w:eastAsia="zh-CN"/>
        </w:rPr>
        <w:t>党的二十大和二十届历次全会对健全宏观经济治理体系、完善数字治理机制、推动高质量发展作出系统部署。“十五五”规划将“深入推进数字中国建设”列为专篇进行系统部署，相关部门正在牵头编制国家信息化方面的“十五五”规划。会计作为经济运行与管理的基础支撑，其数字化、智能化水平直接关系到经济决策的科学性、资源配置的有效性和市场监管的精准性。通过制定《指导意见》，系统构建会计数智化顶层设计，推动会计工作与国家战略同频共振，是落实数字中国建设决策部署、构建高水平社会主义市场经济体制、服务中国式现代化建设的重要抓手。</w:t>
      </w:r>
    </w:p>
    <w:p>
      <w:pPr>
        <w:keepNext w:val="0"/>
        <w:keepLines w:val="0"/>
        <w:pageBreakBefore w:val="0"/>
        <w:widowControl w:val="0"/>
        <w:kinsoku/>
        <w:wordWrap/>
        <w:overflowPunct/>
        <w:topLinePunct w:val="0"/>
        <w:autoSpaceDE/>
        <w:autoSpaceDN/>
        <w:bidi w:val="0"/>
        <w:adjustRightInd/>
        <w:snapToGrid/>
        <w:spacing w:before="0" w:after="0" w:line="588" w:lineRule="exact"/>
        <w:ind w:firstLine="642"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二是顺应技术变革趋势、推动会计职能转型的重要支撑。</w:t>
      </w:r>
      <w:r>
        <w:rPr>
          <w:rFonts w:hint="eastAsia" w:ascii="仿宋_GB2312" w:hAnsi="仿宋_GB2312" w:eastAsia="仿宋_GB2312" w:cs="仿宋_GB2312"/>
          <w:b w:val="0"/>
          <w:bCs w:val="0"/>
          <w:sz w:val="32"/>
          <w:szCs w:val="32"/>
          <w:lang w:val="en-US" w:eastAsia="zh-CN"/>
        </w:rPr>
        <w:t>长期以来，会计工作偏重于事后核算与监督，难以满足新发展阶段对前瞻预测、战略支撑、风险预警等管理需求。面对现代信息技术对传统会计带来的冲击，会计职能必须从传统的记账报账向价值创造、决策支持加速转型。会计法中明确要求加强会计信息化建设，鼓励</w:t>
      </w:r>
      <w:r>
        <w:rPr>
          <w:rFonts w:hint="eastAsia" w:ascii="仿宋_GB2312" w:hAnsi="仿宋_GB2312" w:eastAsia="仿宋_GB2312" w:cs="仿宋_GB2312"/>
          <w:b w:val="0"/>
          <w:bCs w:val="0"/>
          <w:sz w:val="32"/>
          <w:szCs w:val="32"/>
        </w:rPr>
        <w:t>依法采用现代信息技术开展会计工作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会计改革与发展“十五五”规划将“会计数智体系”列为七大体系建设方向之一，《指导意见》顺应技术发展趋势，强化标准化管理与数据赋能，以数智化重构会计工作逻辑，推动业财税深度融合，是会计职能顺应时代发展、实现转型升级的重要引领。</w:t>
      </w:r>
    </w:p>
    <w:p>
      <w:pPr>
        <w:keepNext w:val="0"/>
        <w:keepLines w:val="0"/>
        <w:pageBreakBefore w:val="0"/>
        <w:widowControl/>
        <w:kinsoku/>
        <w:wordWrap/>
        <w:overflowPunct/>
        <w:topLinePunct w:val="0"/>
        <w:autoSpaceDE/>
        <w:autoSpaceDN/>
        <w:bidi w:val="0"/>
        <w:adjustRightInd/>
        <w:snapToGrid/>
        <w:spacing w:before="0" w:after="0" w:line="588" w:lineRule="exact"/>
        <w:ind w:firstLine="642"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三是满足会计行业实际需求、引领行业规范发展的务实举措。</w:t>
      </w:r>
      <w:r>
        <w:rPr>
          <w:rFonts w:hint="eastAsia" w:ascii="仿宋_GB2312" w:hAnsi="仿宋_GB2312" w:eastAsia="仿宋_GB2312" w:cs="仿宋_GB2312"/>
          <w:b w:val="0"/>
          <w:bCs w:val="0"/>
          <w:sz w:val="32"/>
          <w:szCs w:val="32"/>
          <w:lang w:val="en-US" w:eastAsia="zh-CN"/>
        </w:rPr>
        <w:t>当前，顺应数智化发展需要，各单位、注册会计师行业、代理记账机构、会计数智化服务商和咨询机构都在积极推动会计数智化实践。但在推进会计数智化进程中，仍面临信息系统孤岛、业财融合不足、数据标准不统一、复合型人才短缺、数据安全风险日益凸显等现实瓶颈，与数智化发展要求差距明显，亟需加强指导。《指导意见》聚焦会计行业实际需求，通过健全制度、完善标准、强化管理等手段，为各单位、注册会计师行业、代理记账机构、会计数智化服务商和咨询机构提供可操作、可落地的转型路径，切实提升会计工作的标准化、数字化和智能化水平，是促进会计行业整体数智化能力提升的重要举措。</w:t>
      </w:r>
    </w:p>
    <w:p>
      <w:pPr>
        <w:keepNext w:val="0"/>
        <w:keepLines w:val="0"/>
        <w:pageBreakBefore w:val="0"/>
        <w:widowControl w:val="0"/>
        <w:kinsoku/>
        <w:wordWrap/>
        <w:overflowPunct/>
        <w:topLinePunct w:val="0"/>
        <w:autoSpaceDE/>
        <w:autoSpaceDN/>
        <w:bidi w:val="0"/>
        <w:adjustRightInd/>
        <w:snapToGrid/>
        <w:spacing w:before="0" w:after="0" w:line="588"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二、起草原则</w:t>
      </w:r>
    </w:p>
    <w:p>
      <w:pPr>
        <w:keepNext w:val="0"/>
        <w:keepLines w:val="0"/>
        <w:pageBreakBefore w:val="0"/>
        <w:widowControl w:val="0"/>
        <w:kinsoku/>
        <w:wordWrap/>
        <w:overflowPunct/>
        <w:topLinePunct w:val="0"/>
        <w:autoSpaceDE/>
        <w:autoSpaceDN/>
        <w:bidi w:val="0"/>
        <w:adjustRightInd/>
        <w:snapToGrid/>
        <w:spacing w:before="0" w:after="0" w:line="588" w:lineRule="exact"/>
        <w:ind w:firstLine="642"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（一）坚持政治引领。</w:t>
      </w:r>
      <w:r>
        <w:rPr>
          <w:rFonts w:hint="eastAsia" w:ascii="仿宋_GB2312" w:hAnsi="仿宋_GB2312" w:eastAsia="仿宋_GB2312" w:cs="仿宋_GB2312"/>
          <w:sz w:val="32"/>
          <w:szCs w:val="32"/>
        </w:rPr>
        <w:t>深入贯彻党的二十大和二十届</w:t>
      </w:r>
      <w:r>
        <w:rPr>
          <w:rFonts w:hint="eastAsia" w:ascii="仿宋_GB2312" w:hAnsi="仿宋_GB2312" w:eastAsia="仿宋_GB2312" w:cs="仿宋_GB2312"/>
          <w:sz w:val="32"/>
          <w:szCs w:val="32"/>
          <w:lang w:eastAsia="zh-CN"/>
        </w:rPr>
        <w:t>历次</w:t>
      </w:r>
      <w:r>
        <w:rPr>
          <w:rFonts w:hint="eastAsia" w:ascii="仿宋_GB2312" w:hAnsi="仿宋_GB2312" w:eastAsia="仿宋_GB2312" w:cs="仿宋_GB2312"/>
          <w:sz w:val="32"/>
          <w:szCs w:val="32"/>
        </w:rPr>
        <w:t>全会精神，</w:t>
      </w:r>
      <w:r>
        <w:rPr>
          <w:rFonts w:hint="eastAsia" w:ascii="仿宋_GB2312" w:hAnsi="仿宋_GB2312" w:eastAsia="仿宋_GB2312" w:cs="仿宋_GB2312"/>
          <w:b w:val="0"/>
          <w:bCs w:val="0"/>
          <w:sz w:val="32"/>
          <w:szCs w:val="32"/>
          <w:lang w:val="en-US" w:eastAsia="zh-CN"/>
        </w:rPr>
        <w:t>确保会计数智化工作发展方向与“十五五”时期经济社会发展的主要目标一致，更好发挥其在推进数字中国建设等方面的基础性作用。</w:t>
      </w:r>
    </w:p>
    <w:p>
      <w:pPr>
        <w:keepNext w:val="0"/>
        <w:keepLines w:val="0"/>
        <w:pageBreakBefore w:val="0"/>
        <w:widowControl w:val="0"/>
        <w:kinsoku/>
        <w:wordWrap/>
        <w:overflowPunct/>
        <w:topLinePunct w:val="0"/>
        <w:autoSpaceDE/>
        <w:autoSpaceDN/>
        <w:bidi w:val="0"/>
        <w:adjustRightInd/>
        <w:snapToGrid/>
        <w:spacing w:before="0" w:after="0" w:line="588" w:lineRule="exact"/>
        <w:ind w:firstLine="642"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（二）坚持守正创新。</w:t>
      </w:r>
      <w:r>
        <w:rPr>
          <w:rFonts w:hint="eastAsia" w:ascii="仿宋_GB2312" w:hAnsi="仿宋_GB2312" w:eastAsia="仿宋_GB2312" w:cs="仿宋_GB2312"/>
          <w:b w:val="0"/>
          <w:bCs w:val="0"/>
          <w:sz w:val="32"/>
          <w:szCs w:val="32"/>
          <w:lang w:val="en-US" w:eastAsia="zh-CN"/>
        </w:rPr>
        <w:t>在全面总结和继承过去十多年会计信息化建设宝贵经验与成果的基础上，准确把握数智化融合发展新趋势，勇于在理论、制度、标准、应用模式上探索创新，推动会计工作实现从信息化到数智化的跃升。</w:t>
      </w:r>
    </w:p>
    <w:p>
      <w:pPr>
        <w:keepNext w:val="0"/>
        <w:keepLines w:val="0"/>
        <w:pageBreakBefore w:val="0"/>
        <w:widowControl w:val="0"/>
        <w:kinsoku/>
        <w:wordWrap/>
        <w:overflowPunct/>
        <w:topLinePunct w:val="0"/>
        <w:autoSpaceDE/>
        <w:autoSpaceDN/>
        <w:bidi w:val="0"/>
        <w:adjustRightInd/>
        <w:snapToGrid/>
        <w:spacing w:before="0" w:after="0" w:line="588" w:lineRule="exact"/>
        <w:ind w:firstLine="642"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（三）坚持协同推进。</w:t>
      </w:r>
      <w:r>
        <w:rPr>
          <w:rFonts w:hint="eastAsia" w:ascii="仿宋_GB2312" w:hAnsi="仿宋_GB2312" w:eastAsia="仿宋_GB2312" w:cs="仿宋_GB2312"/>
          <w:b w:val="0"/>
          <w:bCs w:val="0"/>
          <w:sz w:val="32"/>
          <w:szCs w:val="32"/>
          <w:lang w:val="en-US" w:eastAsia="zh-CN"/>
        </w:rPr>
        <w:t>注重会计数智化工作的整体性、关联性和协同性。统筹处理好顶层设计与基层探索、制度保障与技术创新、推广应用与落地实践、国内与国际等多方面关系，推动形成各方合力共建、协同推进的良好格局。</w:t>
      </w:r>
    </w:p>
    <w:p>
      <w:pPr>
        <w:keepNext w:val="0"/>
        <w:keepLines w:val="0"/>
        <w:pageBreakBefore w:val="0"/>
        <w:widowControl w:val="0"/>
        <w:kinsoku/>
        <w:wordWrap/>
        <w:overflowPunct/>
        <w:topLinePunct w:val="0"/>
        <w:autoSpaceDE/>
        <w:autoSpaceDN/>
        <w:bidi w:val="0"/>
        <w:adjustRightInd/>
        <w:snapToGrid/>
        <w:spacing w:before="0" w:after="0" w:line="588" w:lineRule="exact"/>
        <w:ind w:firstLine="642"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（四）坚持问题导向。</w:t>
      </w:r>
      <w:r>
        <w:rPr>
          <w:rFonts w:hint="eastAsia" w:ascii="仿宋_GB2312" w:hAnsi="仿宋_GB2312" w:eastAsia="仿宋_GB2312" w:cs="仿宋_GB2312"/>
          <w:b w:val="0"/>
          <w:bCs w:val="0"/>
          <w:sz w:val="32"/>
          <w:szCs w:val="32"/>
          <w:lang w:val="en-US" w:eastAsia="zh-CN"/>
        </w:rPr>
        <w:t>紧密围绕当前会计工作中存在的痛点、难点和堵点问题设计制度与标准，力求制度可落地、标准可推广、成果可检验。强调分类指导和案例示范，鼓励不同行业、不同规模的单位结合实际探索差异化、可复制的数智化转型路径。</w:t>
      </w:r>
    </w:p>
    <w:p>
      <w:pPr>
        <w:keepNext w:val="0"/>
        <w:keepLines w:val="0"/>
        <w:pageBreakBefore w:val="0"/>
        <w:widowControl w:val="0"/>
        <w:kinsoku/>
        <w:wordWrap/>
        <w:overflowPunct/>
        <w:topLinePunct w:val="0"/>
        <w:autoSpaceDE/>
        <w:autoSpaceDN/>
        <w:bidi w:val="0"/>
        <w:adjustRightInd/>
        <w:snapToGrid/>
        <w:spacing w:before="0" w:after="0" w:line="588"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三、起草过程</w:t>
      </w:r>
    </w:p>
    <w:p>
      <w:pPr>
        <w:keepNext w:val="0"/>
        <w:keepLines w:val="0"/>
        <w:pageBreakBefore w:val="0"/>
        <w:widowControl w:val="0"/>
        <w:kinsoku/>
        <w:wordWrap/>
        <w:overflowPunct/>
        <w:topLinePunct w:val="0"/>
        <w:autoSpaceDE/>
        <w:autoSpaceDN/>
        <w:bidi w:val="0"/>
        <w:adjustRightInd/>
        <w:snapToGrid/>
        <w:spacing w:before="0" w:after="0" w:line="588" w:lineRule="exact"/>
        <w:ind w:firstLine="642" w:firstLineChars="200"/>
        <w:textAlignment w:val="auto"/>
        <w:rPr>
          <w:rFonts w:hint="eastAsia" w:ascii="仿宋_GB2312" w:hAnsi="仿宋_GB2312" w:eastAsia="仿宋_GB2312" w:cs="仿宋_GB2312"/>
          <w:b w:val="0"/>
          <w:bCs w:val="0"/>
          <w:sz w:val="32"/>
          <w:szCs w:val="32"/>
          <w:lang w:val="en-US" w:eastAsia="zh-CN"/>
        </w:rPr>
      </w:pPr>
      <w:r>
        <w:rPr>
          <w:rFonts w:hint="eastAsia" w:ascii="方正楷体_GBK" w:hAnsi="方正楷体_GBK" w:eastAsia="方正楷体_GBK" w:cs="方正楷体_GBK"/>
          <w:b/>
          <w:bCs/>
          <w:sz w:val="32"/>
          <w:szCs w:val="32"/>
          <w:highlight w:val="none"/>
          <w:lang w:val="en-US" w:eastAsia="zh-CN"/>
        </w:rPr>
        <w:t>（一）开展调研，形成初稿。</w:t>
      </w:r>
      <w:r>
        <w:rPr>
          <w:rFonts w:hint="eastAsia" w:ascii="仿宋_GB2312" w:hAnsi="仿宋_GB2312" w:eastAsia="仿宋_GB2312" w:cs="仿宋_GB2312"/>
          <w:b w:val="0"/>
          <w:bCs w:val="0"/>
          <w:sz w:val="32"/>
          <w:szCs w:val="32"/>
          <w:lang w:val="en-US" w:eastAsia="zh-CN"/>
        </w:rPr>
        <w:t>2025年3月，委托全国会计信息化标准化技术委员会部分咨询专家开展会计数智化相关研究，系统梳理我国会计信息化应用中存在的问题，并研究提出对策建议。2025年7月，组织召开会计数智化发展交流座谈会，邀请各方专家围绕构建中国特色、国际领先的会计数智化体系建言献策。在此基础上，于2025年下半年形成《指导意见》初稿。</w:t>
      </w:r>
    </w:p>
    <w:p>
      <w:pPr>
        <w:keepNext w:val="0"/>
        <w:keepLines w:val="0"/>
        <w:pageBreakBefore w:val="0"/>
        <w:widowControl w:val="0"/>
        <w:kinsoku/>
        <w:wordWrap/>
        <w:overflowPunct/>
        <w:topLinePunct w:val="0"/>
        <w:autoSpaceDE/>
        <w:autoSpaceDN/>
        <w:bidi w:val="0"/>
        <w:adjustRightInd/>
        <w:snapToGrid/>
        <w:spacing w:before="0" w:after="0" w:line="588" w:lineRule="exact"/>
        <w:ind w:firstLine="642"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（二）</w:t>
      </w:r>
      <w:r>
        <w:rPr>
          <w:rFonts w:hint="eastAsia" w:ascii="方正楷体_GBK" w:hAnsi="方正楷体_GBK" w:eastAsia="方正楷体_GBK" w:cs="方正楷体_GBK"/>
          <w:b/>
          <w:bCs/>
          <w:sz w:val="32"/>
          <w:szCs w:val="32"/>
          <w:highlight w:val="none"/>
          <w:lang w:val="en-US" w:eastAsia="zh-CN"/>
        </w:rPr>
        <w:t>“请进来，走出去”，形成讨论稿。</w:t>
      </w:r>
      <w:r>
        <w:rPr>
          <w:rFonts w:hint="eastAsia" w:ascii="仿宋_GB2312" w:hAnsi="仿宋_GB2312" w:eastAsia="仿宋_GB2312" w:cs="仿宋_GB2312"/>
          <w:b w:val="0"/>
          <w:bCs w:val="0"/>
          <w:sz w:val="32"/>
          <w:szCs w:val="32"/>
          <w:lang w:val="en-US" w:eastAsia="zh-CN"/>
        </w:rPr>
        <w:t>2025年12月，组织召开专家研讨会，就《指导意见》初稿进行专题讨论，听取意见建议。2026年3月，组织中国总会计师协会智能财务专业委员会专家就《指导意见》初稿进行分组讨论。根据各方意见建议，我们对《指导意见》初稿进行补充完善，形成讨论稿。</w:t>
      </w:r>
    </w:p>
    <w:p>
      <w:pPr>
        <w:pStyle w:val="6"/>
        <w:keepNext w:val="0"/>
        <w:keepLines w:val="0"/>
        <w:pageBreakBefore w:val="0"/>
        <w:kinsoku/>
        <w:wordWrap/>
        <w:overflowPunct/>
        <w:topLinePunct w:val="0"/>
        <w:autoSpaceDE/>
        <w:autoSpaceDN/>
        <w:bidi w:val="0"/>
        <w:adjustRightInd/>
        <w:snapToGrid/>
        <w:spacing w:before="0" w:after="0" w:line="588" w:lineRule="exact"/>
        <w:ind w:firstLine="642" w:firstLineChars="200"/>
        <w:textAlignment w:val="auto"/>
        <w:rPr>
          <w:rFonts w:hint="eastAsia" w:ascii="仿宋_GB2312" w:hAnsi="仿宋_GB2312" w:eastAsia="仿宋_GB2312" w:cs="仿宋_GB2312"/>
          <w:b w:val="0"/>
          <w:bCs w:val="0"/>
          <w:sz w:val="32"/>
          <w:szCs w:val="32"/>
          <w:lang w:val="en-US" w:eastAsia="zh-CN"/>
        </w:rPr>
      </w:pPr>
      <w:r>
        <w:rPr>
          <w:rFonts w:hint="eastAsia" w:ascii="方正楷体_GBK" w:hAnsi="方正楷体_GBK" w:eastAsia="方正楷体_GBK" w:cs="方正楷体_GBK"/>
          <w:b/>
          <w:bCs/>
          <w:kern w:val="2"/>
          <w:sz w:val="32"/>
          <w:szCs w:val="32"/>
          <w:highlight w:val="none"/>
          <w:lang w:val="en-US" w:eastAsia="zh-CN" w:bidi="ar-SA"/>
        </w:rPr>
        <w:t>（三）多</w:t>
      </w:r>
      <w:r>
        <w:rPr>
          <w:rFonts w:hint="default" w:ascii="方正楷体_GBK" w:hAnsi="方正楷体_GBK" w:eastAsia="方正楷体_GBK" w:cs="方正楷体_GBK"/>
          <w:b/>
          <w:bCs/>
          <w:kern w:val="2"/>
          <w:sz w:val="32"/>
          <w:szCs w:val="32"/>
          <w:highlight w:val="none"/>
          <w:lang w:val="en" w:eastAsia="zh-CN" w:bidi="ar-SA"/>
        </w:rPr>
        <w:t>方</w:t>
      </w:r>
      <w:r>
        <w:rPr>
          <w:rFonts w:hint="eastAsia" w:ascii="方正楷体_GBK" w:hAnsi="方正楷体_GBK" w:eastAsia="方正楷体_GBK" w:cs="方正楷体_GBK"/>
          <w:b/>
          <w:bCs/>
          <w:kern w:val="2"/>
          <w:sz w:val="32"/>
          <w:szCs w:val="32"/>
          <w:highlight w:val="none"/>
          <w:lang w:val="en-US" w:eastAsia="zh-CN" w:bidi="ar-SA"/>
        </w:rPr>
        <w:t>征求意见，形成征求意见稿。</w:t>
      </w:r>
      <w:r>
        <w:rPr>
          <w:rFonts w:hint="eastAsia" w:ascii="仿宋_GB2312" w:hAnsi="仿宋_GB2312" w:eastAsia="仿宋_GB2312" w:cs="仿宋_GB2312"/>
          <w:b w:val="0"/>
          <w:bCs w:val="0"/>
          <w:sz w:val="32"/>
          <w:szCs w:val="32"/>
          <w:lang w:val="en-US" w:eastAsia="zh-CN"/>
        </w:rPr>
        <w:t>2026年6月，就《指导意见》讨论稿征求全国会计信息化标准化技术委员会部分咨询专家意见，就相关具体问题进行深入讨论。7月初，就《指导意见》讨论稿</w:t>
      </w:r>
      <w:r>
        <w:rPr>
          <w:rFonts w:hint="eastAsia" w:ascii="仿宋_GB2312" w:hAnsi="仿宋_GB2312" w:eastAsia="仿宋_GB2312" w:cs="仿宋_GB2312"/>
          <w:sz w:val="32"/>
          <w:szCs w:val="32"/>
          <w:highlight w:val="none"/>
          <w:shd w:val="clear" w:color="auto" w:fill="auto"/>
          <w:lang w:val="en-US" w:eastAsia="zh-CN"/>
        </w:rPr>
        <w:t>征求</w:t>
      </w:r>
      <w:r>
        <w:rPr>
          <w:rFonts w:hint="eastAsia" w:ascii="仿宋_GB2312" w:hAnsi="仿宋_GB2312" w:eastAsia="仿宋_GB2312" w:cs="仿宋_GB2312"/>
          <w:sz w:val="32"/>
          <w:szCs w:val="32"/>
        </w:rPr>
        <w:t>中央网信办、国家发展改革委、工业和信息化部、国家数据局、国家档案局等12个中央部门</w:t>
      </w:r>
      <w:r>
        <w:rPr>
          <w:rFonts w:hint="eastAsia" w:ascii="仿宋_GB2312" w:hAnsi="仿宋_GB2312" w:eastAsia="仿宋_GB2312" w:cs="仿宋_GB2312"/>
          <w:sz w:val="32"/>
          <w:szCs w:val="32"/>
          <w:lang w:eastAsia="zh-CN"/>
        </w:rPr>
        <w:t>（单位）和</w:t>
      </w:r>
      <w:r>
        <w:rPr>
          <w:rFonts w:hint="eastAsia" w:ascii="仿宋_GB2312" w:hAnsi="仿宋_GB2312" w:eastAsia="仿宋_GB2312" w:cs="仿宋_GB2312"/>
          <w:sz w:val="32"/>
          <w:szCs w:val="32"/>
        </w:rPr>
        <w:t>北京、天津等19个地方财政部门意见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val="0"/>
          <w:bCs w:val="0"/>
          <w:sz w:val="32"/>
          <w:szCs w:val="32"/>
          <w:highlight w:val="none"/>
          <w:lang w:val="en-US" w:eastAsia="zh-CN"/>
        </w:rPr>
        <w:t>本着应吸收尽吸收的原则，我们对各方反馈意见逐一研究、充分吸纳，反复修改完善后</w:t>
      </w:r>
      <w:r>
        <w:rPr>
          <w:rFonts w:hint="eastAsia" w:ascii="仿宋_GB2312" w:hAnsi="仿宋_GB2312" w:eastAsia="仿宋_GB2312" w:cs="仿宋_GB2312"/>
          <w:b w:val="0"/>
          <w:bCs w:val="0"/>
          <w:sz w:val="32"/>
          <w:szCs w:val="32"/>
          <w:lang w:val="en-US" w:eastAsia="zh-CN"/>
        </w:rPr>
        <w:t>形成《指导意见》征求意见稿。</w:t>
      </w:r>
    </w:p>
    <w:p>
      <w:pPr>
        <w:pStyle w:val="6"/>
        <w:keepNext w:val="0"/>
        <w:keepLines w:val="0"/>
        <w:pageBreakBefore w:val="0"/>
        <w:kinsoku/>
        <w:wordWrap/>
        <w:overflowPunct/>
        <w:topLinePunct w:val="0"/>
        <w:autoSpaceDE/>
        <w:autoSpaceDN/>
        <w:bidi w:val="0"/>
        <w:adjustRightInd/>
        <w:snapToGrid/>
        <w:spacing w:before="0" w:after="0" w:line="588"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四、主要内容</w:t>
      </w:r>
    </w:p>
    <w:p>
      <w:pPr>
        <w:pStyle w:val="6"/>
        <w:keepNext w:val="0"/>
        <w:keepLines w:val="0"/>
        <w:pageBreakBefore w:val="0"/>
        <w:widowControl w:val="0"/>
        <w:kinsoku/>
        <w:wordWrap/>
        <w:overflowPunct/>
        <w:topLinePunct w:val="0"/>
        <w:autoSpaceDE/>
        <w:autoSpaceDN/>
        <w:bidi w:val="0"/>
        <w:adjustRightInd/>
        <w:snapToGrid/>
        <w:spacing w:before="0" w:after="0" w:line="360" w:lineRule="auto"/>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《指导意见》征求意见稿主要包括以下内容：</w:t>
      </w:r>
    </w:p>
    <w:p>
      <w:pPr>
        <w:pStyle w:val="6"/>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firstLine="642"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val="0"/>
          <w:sz w:val="32"/>
          <w:szCs w:val="32"/>
          <w:lang w:val="en-US" w:eastAsia="zh-CN"/>
        </w:rPr>
        <w:t>（一）总体要求。</w:t>
      </w:r>
      <w:r>
        <w:rPr>
          <w:rFonts w:hint="eastAsia" w:ascii="仿宋_GB2312" w:hAnsi="仿宋_GB2312" w:eastAsia="仿宋_GB2312" w:cs="仿宋_GB2312"/>
          <w:b w:val="0"/>
          <w:bCs w:val="0"/>
          <w:sz w:val="32"/>
          <w:szCs w:val="32"/>
          <w:lang w:val="en-US" w:eastAsia="zh-CN"/>
        </w:rPr>
        <w:t>明确了加快推进会计数智化工作的指导思想、工作原则和总体目标。</w:t>
      </w:r>
    </w:p>
    <w:p>
      <w:pPr>
        <w:pStyle w:val="6"/>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firstLine="642"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（二）强化会计数智化法规制度机制保障。</w:t>
      </w:r>
      <w:r>
        <w:rPr>
          <w:rFonts w:hint="eastAsia" w:ascii="仿宋_GB2312" w:hAnsi="仿宋_GB2312" w:eastAsia="仿宋_GB2312" w:cs="仿宋_GB2312"/>
          <w:b w:val="0"/>
          <w:bCs w:val="0"/>
          <w:sz w:val="32"/>
          <w:szCs w:val="32"/>
          <w:lang w:val="en-US" w:eastAsia="zh-CN"/>
        </w:rPr>
        <w:t>提出贯彻落实相关法规制度，完善会计相关制度规范，建立健全会计数智化建设评价机制与案例推广机制，夯实会计数智化工作的制度基础。</w:t>
      </w:r>
    </w:p>
    <w:p>
      <w:pPr>
        <w:keepNext w:val="0"/>
        <w:keepLines w:val="0"/>
        <w:pageBreakBefore w:val="0"/>
        <w:widowControl w:val="0"/>
        <w:kinsoku/>
        <w:wordWrap/>
        <w:overflowPunct/>
        <w:topLinePunct w:val="0"/>
        <w:autoSpaceDE/>
        <w:autoSpaceDN/>
        <w:bidi w:val="0"/>
        <w:adjustRightInd/>
        <w:snapToGrid/>
        <w:spacing w:before="0" w:after="0" w:line="360" w:lineRule="auto"/>
        <w:ind w:firstLine="642"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（三）加强会计数智化标准体系建设。</w:t>
      </w:r>
      <w:r>
        <w:rPr>
          <w:rFonts w:hint="eastAsia" w:ascii="仿宋_GB2312" w:hAnsi="仿宋_GB2312" w:eastAsia="仿宋_GB2312" w:cs="仿宋_GB2312"/>
          <w:b w:val="0"/>
          <w:bCs w:val="0"/>
          <w:sz w:val="32"/>
          <w:szCs w:val="32"/>
          <w:lang w:val="en-US" w:eastAsia="zh-CN"/>
        </w:rPr>
        <w:t>部署健全完善会计核算数据标准、管理会计数据指标标准、内部控制报告数据标准、可持续信息披露数据标准、数字函证数据标准、注册会计师审计数据标准、会计数智化产品标准、加强会计数智化标准国际合作，构建系统完备的会计数智化标准体系。</w:t>
      </w:r>
    </w:p>
    <w:p>
      <w:pPr>
        <w:keepNext w:val="0"/>
        <w:keepLines w:val="0"/>
        <w:pageBreakBefore w:val="0"/>
        <w:widowControl w:val="0"/>
        <w:kinsoku/>
        <w:wordWrap/>
        <w:overflowPunct/>
        <w:topLinePunct w:val="0"/>
        <w:autoSpaceDE/>
        <w:autoSpaceDN/>
        <w:bidi w:val="0"/>
        <w:adjustRightInd/>
        <w:snapToGrid/>
        <w:spacing w:before="0" w:after="0" w:line="360" w:lineRule="auto"/>
        <w:ind w:firstLine="642"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（四）强化会计数智化实践应用。</w:t>
      </w:r>
      <w:r>
        <w:rPr>
          <w:rFonts w:hint="eastAsia" w:ascii="仿宋_GB2312" w:hAnsi="仿宋_GB2312" w:eastAsia="仿宋_GB2312" w:cs="仿宋_GB2312"/>
          <w:b w:val="0"/>
          <w:bCs w:val="0"/>
          <w:sz w:val="32"/>
          <w:szCs w:val="32"/>
          <w:lang w:val="en-US" w:eastAsia="zh-CN"/>
        </w:rPr>
        <w:t>围绕单位财务会计数智化转型、管理会计与数智技术深度融合、内部控制数智化应用、可持续信息披露数智化水平提升、注册会计师行业数智化转型、代理记账机构数智化服务、会计数智化服务商和咨询机构服务能力增强等七个方面，推动会计数智化在各类单位的落地应用，加强会计数智化安全管理。</w:t>
      </w:r>
    </w:p>
    <w:p>
      <w:pPr>
        <w:keepNext w:val="0"/>
        <w:keepLines w:val="0"/>
        <w:pageBreakBefore w:val="0"/>
        <w:widowControl w:val="0"/>
        <w:kinsoku/>
        <w:wordWrap/>
        <w:overflowPunct/>
        <w:topLinePunct w:val="0"/>
        <w:autoSpaceDE/>
        <w:autoSpaceDN/>
        <w:bidi w:val="0"/>
        <w:adjustRightInd/>
        <w:snapToGrid/>
        <w:spacing w:before="0" w:after="0" w:line="360" w:lineRule="auto"/>
        <w:ind w:firstLine="642"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（五）提升会计管理工作数智化水平。</w:t>
      </w:r>
      <w:r>
        <w:rPr>
          <w:rFonts w:hint="eastAsia" w:ascii="仿宋_GB2312" w:hAnsi="仿宋_GB2312" w:eastAsia="仿宋_GB2312" w:cs="仿宋_GB2312"/>
          <w:b w:val="0"/>
          <w:bCs w:val="0"/>
          <w:sz w:val="32"/>
          <w:szCs w:val="32"/>
          <w:lang w:val="en-US" w:eastAsia="zh-CN"/>
        </w:rPr>
        <w:t>部署升级全国会计人员统一服务管理平台、优化全国代理记账行业监管服务平台、完善注册会计师行业相关监管平台、深化内部控制报告平台应用、推进会计监督检查平台数智化升级，提升会计管理工作的数字化、智能化水平。</w:t>
      </w:r>
    </w:p>
    <w:p>
      <w:pPr>
        <w:keepNext w:val="0"/>
        <w:keepLines w:val="0"/>
        <w:pageBreakBefore w:val="0"/>
        <w:widowControl w:val="0"/>
        <w:kinsoku/>
        <w:wordWrap/>
        <w:overflowPunct/>
        <w:topLinePunct w:val="0"/>
        <w:autoSpaceDE/>
        <w:autoSpaceDN/>
        <w:bidi w:val="0"/>
        <w:adjustRightInd/>
        <w:snapToGrid/>
        <w:spacing w:before="0" w:after="0" w:line="360" w:lineRule="auto"/>
        <w:ind w:firstLine="642"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（六）强化会计数智化理论与人才支撑。</w:t>
      </w:r>
      <w:r>
        <w:rPr>
          <w:rFonts w:hint="eastAsia" w:ascii="仿宋_GB2312" w:hAnsi="仿宋_GB2312" w:eastAsia="仿宋_GB2312" w:cs="仿宋_GB2312"/>
          <w:b w:val="0"/>
          <w:bCs w:val="0"/>
          <w:sz w:val="32"/>
          <w:szCs w:val="32"/>
          <w:lang w:val="en-US" w:eastAsia="zh-CN"/>
        </w:rPr>
        <w:t>提出深入开展会计数智化理论研究，加快会计数智化人才培养，发挥会计数智化专家智库作用，为会计数智化长远发展提供智力支持和人才保障。</w:t>
      </w:r>
    </w:p>
    <w:p>
      <w:pPr>
        <w:spacing w:before="0" w:after="0" w:line="360" w:lineRule="auto"/>
        <w:ind w:firstLine="642" w:firstLineChars="200"/>
        <w:rPr>
          <w:rFonts w:hint="default"/>
          <w:lang w:val="en-US" w:eastAsia="zh-CN"/>
        </w:rPr>
      </w:pPr>
      <w:r>
        <w:rPr>
          <w:rFonts w:hint="eastAsia" w:ascii="仿宋_GB2312" w:hAnsi="仿宋_GB2312" w:eastAsia="仿宋_GB2312" w:cs="仿宋_GB2312"/>
          <w:b/>
          <w:bCs/>
          <w:sz w:val="32"/>
          <w:szCs w:val="32"/>
          <w:lang w:val="en-US" w:eastAsia="zh-CN"/>
        </w:rPr>
        <w:t>（七）保障措施与分工。</w:t>
      </w:r>
      <w:r>
        <w:rPr>
          <w:rFonts w:hint="eastAsia" w:ascii="仿宋_GB2312" w:hAnsi="仿宋_GB2312" w:eastAsia="仿宋_GB2312" w:cs="仿宋_GB2312"/>
          <w:b w:val="0"/>
          <w:bCs w:val="0"/>
          <w:sz w:val="32"/>
          <w:szCs w:val="32"/>
          <w:lang w:val="en-US" w:eastAsia="zh-CN"/>
        </w:rPr>
        <w:t>明确财政部统筹协调、各地财政部门加强指导、各行业主管部门分步分类推动、各单位落实主体责任、会计师事务所等服务机构和行业协会等协同支撑的各方责任，形成推进会计数智化的工作合力。</w:t>
      </w: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libri Light">
    <w:altName w:val="DejaVu Sans"/>
    <w:panose1 w:val="020F0302020204030204"/>
    <w:charset w:val="00"/>
    <w:family w:val="auto"/>
    <w:pitch w:val="default"/>
    <w:sig w:usb0="00000000" w:usb1="00000000"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4"/>
  <w:embedSystemFonts/>
  <w:bordersDoNotSurroundHeader w:val="false"/>
  <w:bordersDoNotSurroundFooter w:val="false"/>
  <w:revisionView w:markup="0"/>
  <w:documentProtection w:edit="readOnly"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FFA1C1"/>
    <w:rsid w:val="03FCC9CB"/>
    <w:rsid w:val="0F5E9AB0"/>
    <w:rsid w:val="1ADB392E"/>
    <w:rsid w:val="1BFA8EE1"/>
    <w:rsid w:val="1DDA3151"/>
    <w:rsid w:val="1F9FD597"/>
    <w:rsid w:val="27FBD3DE"/>
    <w:rsid w:val="2DCE6ADA"/>
    <w:rsid w:val="2F7B4EC7"/>
    <w:rsid w:val="2FFFA1C1"/>
    <w:rsid w:val="2FFFF318"/>
    <w:rsid w:val="36F274DA"/>
    <w:rsid w:val="379EEBFC"/>
    <w:rsid w:val="37CE23A3"/>
    <w:rsid w:val="37F7200E"/>
    <w:rsid w:val="3B3D3CBF"/>
    <w:rsid w:val="3BEE5433"/>
    <w:rsid w:val="3DFF1601"/>
    <w:rsid w:val="3EDF7006"/>
    <w:rsid w:val="3EFF0F1A"/>
    <w:rsid w:val="3F59C099"/>
    <w:rsid w:val="3FB78006"/>
    <w:rsid w:val="3FEF2FA7"/>
    <w:rsid w:val="3FF96A2D"/>
    <w:rsid w:val="4C5F82BD"/>
    <w:rsid w:val="4F6AC685"/>
    <w:rsid w:val="554A5510"/>
    <w:rsid w:val="57C56235"/>
    <w:rsid w:val="5AFFCDE5"/>
    <w:rsid w:val="5B6FE6B0"/>
    <w:rsid w:val="5B7D46A6"/>
    <w:rsid w:val="5BDD11D4"/>
    <w:rsid w:val="5BFE88A7"/>
    <w:rsid w:val="5D2F9FE6"/>
    <w:rsid w:val="5DFF1E97"/>
    <w:rsid w:val="5EBCD56A"/>
    <w:rsid w:val="5ED6B2FF"/>
    <w:rsid w:val="5F760D4C"/>
    <w:rsid w:val="5FA7E401"/>
    <w:rsid w:val="5FDB0980"/>
    <w:rsid w:val="5FDFD629"/>
    <w:rsid w:val="5FE609BE"/>
    <w:rsid w:val="5FFC5DC0"/>
    <w:rsid w:val="65FFCD7C"/>
    <w:rsid w:val="663F6FB6"/>
    <w:rsid w:val="666B90E3"/>
    <w:rsid w:val="66EE3D7E"/>
    <w:rsid w:val="66FD416F"/>
    <w:rsid w:val="66FE53AA"/>
    <w:rsid w:val="69DE6D66"/>
    <w:rsid w:val="69FD449A"/>
    <w:rsid w:val="6AD30ABF"/>
    <w:rsid w:val="6D7B9722"/>
    <w:rsid w:val="6DAD3703"/>
    <w:rsid w:val="6F5BCE49"/>
    <w:rsid w:val="6F990D62"/>
    <w:rsid w:val="6FBB7D69"/>
    <w:rsid w:val="6FBDD7DC"/>
    <w:rsid w:val="6FC5FFA7"/>
    <w:rsid w:val="6FD64E41"/>
    <w:rsid w:val="6FDF555E"/>
    <w:rsid w:val="6FEBB639"/>
    <w:rsid w:val="6FFFF6A0"/>
    <w:rsid w:val="71BFF796"/>
    <w:rsid w:val="71FE85E3"/>
    <w:rsid w:val="73B3602A"/>
    <w:rsid w:val="75FB5254"/>
    <w:rsid w:val="76D034DE"/>
    <w:rsid w:val="76FFCE64"/>
    <w:rsid w:val="77B043E3"/>
    <w:rsid w:val="77B5FADB"/>
    <w:rsid w:val="77F72941"/>
    <w:rsid w:val="78BDAC43"/>
    <w:rsid w:val="79C705E1"/>
    <w:rsid w:val="79F7F3BE"/>
    <w:rsid w:val="7ADD73ED"/>
    <w:rsid w:val="7AFFDB0E"/>
    <w:rsid w:val="7AFFF7CE"/>
    <w:rsid w:val="7BB7D02E"/>
    <w:rsid w:val="7C5F97B9"/>
    <w:rsid w:val="7CFABD20"/>
    <w:rsid w:val="7CFECA26"/>
    <w:rsid w:val="7D6F3532"/>
    <w:rsid w:val="7DB608F6"/>
    <w:rsid w:val="7DDED6E4"/>
    <w:rsid w:val="7DDF10AF"/>
    <w:rsid w:val="7DDFA732"/>
    <w:rsid w:val="7DF707CB"/>
    <w:rsid w:val="7DFBAE97"/>
    <w:rsid w:val="7DFD519B"/>
    <w:rsid w:val="7E4F3ED0"/>
    <w:rsid w:val="7E7350EC"/>
    <w:rsid w:val="7EB70B80"/>
    <w:rsid w:val="7EDD2A34"/>
    <w:rsid w:val="7EEB7368"/>
    <w:rsid w:val="7EEBF381"/>
    <w:rsid w:val="7EFF85A8"/>
    <w:rsid w:val="7EFF877F"/>
    <w:rsid w:val="7F5DD19E"/>
    <w:rsid w:val="7F5F1AA6"/>
    <w:rsid w:val="7F760814"/>
    <w:rsid w:val="7F7CBB2E"/>
    <w:rsid w:val="7F7F8FED"/>
    <w:rsid w:val="7F8FFCEB"/>
    <w:rsid w:val="7FAE0EC3"/>
    <w:rsid w:val="7FE3A046"/>
    <w:rsid w:val="7FEE0845"/>
    <w:rsid w:val="7FF7212C"/>
    <w:rsid w:val="7FFCCB6F"/>
    <w:rsid w:val="7FFD0BA2"/>
    <w:rsid w:val="7FFE8D31"/>
    <w:rsid w:val="8A6D9DC1"/>
    <w:rsid w:val="8AEDF42B"/>
    <w:rsid w:val="95DF0493"/>
    <w:rsid w:val="9BFD0D76"/>
    <w:rsid w:val="A3FF0E6D"/>
    <w:rsid w:val="A79E6B8B"/>
    <w:rsid w:val="ABF71968"/>
    <w:rsid w:val="AF792892"/>
    <w:rsid w:val="B1DE3E98"/>
    <w:rsid w:val="B37F19B8"/>
    <w:rsid w:val="B46F6B47"/>
    <w:rsid w:val="B5BB11BD"/>
    <w:rsid w:val="B5FF8C76"/>
    <w:rsid w:val="B9D75B49"/>
    <w:rsid w:val="BB3A1E22"/>
    <w:rsid w:val="BBFEDFEA"/>
    <w:rsid w:val="BD9E6DDA"/>
    <w:rsid w:val="BEE655A7"/>
    <w:rsid w:val="BEED66D7"/>
    <w:rsid w:val="BEF4162E"/>
    <w:rsid w:val="BF6D8C67"/>
    <w:rsid w:val="BFB3CA9C"/>
    <w:rsid w:val="BFED499D"/>
    <w:rsid w:val="C9F7AE63"/>
    <w:rsid w:val="CBFFF499"/>
    <w:rsid w:val="CDBDF552"/>
    <w:rsid w:val="CFEB4909"/>
    <w:rsid w:val="D55E948A"/>
    <w:rsid w:val="D7D35F92"/>
    <w:rsid w:val="D7FE56E3"/>
    <w:rsid w:val="DBF9F02F"/>
    <w:rsid w:val="DC5B9AC6"/>
    <w:rsid w:val="DE7F00B4"/>
    <w:rsid w:val="DE8F5EAD"/>
    <w:rsid w:val="DF6F2F37"/>
    <w:rsid w:val="DFED95D0"/>
    <w:rsid w:val="DFF7C9F6"/>
    <w:rsid w:val="E1DEBB52"/>
    <w:rsid w:val="E39E5682"/>
    <w:rsid w:val="E4FE4CEA"/>
    <w:rsid w:val="E579897E"/>
    <w:rsid w:val="E5FD0F19"/>
    <w:rsid w:val="E9EFF7E9"/>
    <w:rsid w:val="EAFF506B"/>
    <w:rsid w:val="EBDFF237"/>
    <w:rsid w:val="EC79CB2F"/>
    <w:rsid w:val="ECDD6EC0"/>
    <w:rsid w:val="ECFD375E"/>
    <w:rsid w:val="ED338B11"/>
    <w:rsid w:val="ED7FC265"/>
    <w:rsid w:val="ED970C65"/>
    <w:rsid w:val="EDA6D11B"/>
    <w:rsid w:val="EE7F6CA4"/>
    <w:rsid w:val="EEFF7D0A"/>
    <w:rsid w:val="EF75F00A"/>
    <w:rsid w:val="EFB774F3"/>
    <w:rsid w:val="EFDF0C08"/>
    <w:rsid w:val="EFE7CF79"/>
    <w:rsid w:val="EFFB8C77"/>
    <w:rsid w:val="F1E9669F"/>
    <w:rsid w:val="F1FCA83F"/>
    <w:rsid w:val="F1FE1803"/>
    <w:rsid w:val="F3FDD6CD"/>
    <w:rsid w:val="F3FF59CE"/>
    <w:rsid w:val="F57E7DC1"/>
    <w:rsid w:val="F66F4217"/>
    <w:rsid w:val="F6C72EDB"/>
    <w:rsid w:val="F6FF5938"/>
    <w:rsid w:val="F76ED7BA"/>
    <w:rsid w:val="F79FBC44"/>
    <w:rsid w:val="F7BF2E90"/>
    <w:rsid w:val="F7EF340C"/>
    <w:rsid w:val="F7F7792E"/>
    <w:rsid w:val="F9F98BA8"/>
    <w:rsid w:val="FA2CB04D"/>
    <w:rsid w:val="FA9F3F2E"/>
    <w:rsid w:val="FABF9CEC"/>
    <w:rsid w:val="FAE69E18"/>
    <w:rsid w:val="FAEE3B69"/>
    <w:rsid w:val="FBDEE0FD"/>
    <w:rsid w:val="FBF69BE6"/>
    <w:rsid w:val="FC7EACC9"/>
    <w:rsid w:val="FD8DE417"/>
    <w:rsid w:val="FDA5D766"/>
    <w:rsid w:val="FDBD4230"/>
    <w:rsid w:val="FDEE9203"/>
    <w:rsid w:val="FDEF69C1"/>
    <w:rsid w:val="FE3283E6"/>
    <w:rsid w:val="FE5F616D"/>
    <w:rsid w:val="FE7F61ED"/>
    <w:rsid w:val="FEDE40F7"/>
    <w:rsid w:val="FEEDD387"/>
    <w:rsid w:val="FEF772AC"/>
    <w:rsid w:val="FF1909A5"/>
    <w:rsid w:val="FF1AE6E9"/>
    <w:rsid w:val="FF6E923F"/>
    <w:rsid w:val="FFBF0DE9"/>
    <w:rsid w:val="FFCEC4A6"/>
    <w:rsid w:val="FFD9B16B"/>
    <w:rsid w:val="FFEF9706"/>
    <w:rsid w:val="FFEFC63D"/>
    <w:rsid w:val="FFFA0E55"/>
    <w:rsid w:val="FFFDD931"/>
    <w:rsid w:val="FFFFF7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afterLines="0" w:afterAutospacing="0"/>
      <w:ind w:left="420" w:leftChars="200"/>
    </w:pPr>
  </w:style>
  <w:style w:type="paragraph" w:styleId="5">
    <w:name w:val="annotation text"/>
    <w:basedOn w:val="1"/>
    <w:qFormat/>
    <w:uiPriority w:val="0"/>
    <w:pPr>
      <w:jc w:val="left"/>
    </w:pPr>
  </w:style>
  <w:style w:type="paragraph" w:styleId="6">
    <w:name w:val="Body Text"/>
    <w:basedOn w:val="1"/>
    <w:next w:val="7"/>
    <w:unhideWhenUsed/>
    <w:qFormat/>
    <w:uiPriority w:val="99"/>
    <w:pPr>
      <w:spacing w:after="120"/>
    </w:pPr>
  </w:style>
  <w:style w:type="paragraph" w:styleId="7">
    <w:name w:val="Title"/>
    <w:basedOn w:val="1"/>
    <w:next w:val="1"/>
    <w:qFormat/>
    <w:uiPriority w:val="10"/>
    <w:pPr>
      <w:spacing w:before="240" w:after="60"/>
      <w:jc w:val="center"/>
      <w:outlineLvl w:val="0"/>
    </w:pPr>
    <w:rPr>
      <w:rFonts w:ascii="Calibri Light" w:hAnsi="Calibri Light" w:eastAsia="宋体" w:cs="Times New Roman"/>
      <w:b/>
      <w:bCs/>
      <w:sz w:val="32"/>
      <w:szCs w:val="3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rPr>
      <w:sz w:val="24"/>
    </w:rPr>
  </w:style>
  <w:style w:type="character" w:styleId="13">
    <w:name w:val="Strong"/>
    <w:basedOn w:val="12"/>
    <w:qFormat/>
    <w:uiPriority w:val="0"/>
    <w:rPr>
      <w:b/>
    </w:rPr>
  </w:style>
  <w:style w:type="character" w:styleId="14">
    <w:name w:val="Emphasis"/>
    <w:basedOn w:val="12"/>
    <w:qFormat/>
    <w:uiPriority w:val="0"/>
    <w:rPr>
      <w:i/>
    </w:rPr>
  </w:style>
  <w:style w:type="character" w:styleId="15">
    <w:name w:val="Hyperlink"/>
    <w:basedOn w:val="12"/>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Office_11.8.2.9695_F1E327BC-269C-435d-A152-05C5408002CA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2026-02-25T22:43:00Z</dcterms:created>
  <dc:creator>lxh</dc:creator>
  <cp:lastModifiedBy>Admin</cp:lastModifiedBy>
  <cp:lastPrinted>2026-09-17T01:46:00Z</cp:lastPrinted>
  <dcterms:modified xsi:type="dcterms:W3CDTF">2026-09-17T18:09:48Z</dcterms:modified>
  <dc:title>《关于加快推进会计数智化工作的指导意见</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2052-11.8.2.9695</vt:lpwstr>
  </property>
  <property fmtid="{D5CDD505-2E9C-101B-9397-08002B2CF9AE}" pid="3" name="ICV">
    <vt:lpwstr>5730FA6B07E5D20CC8293A6AF7286547</vt:lpwstr>
  </property>
</Properties>
</file>