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1555E5">
      <w:pPr>
        <w:keepNext w:val="0"/>
        <w:keepLines w:val="0"/>
        <w:pageBreakBefore w:val="0"/>
        <w:widowControl/>
        <w:kinsoku/>
        <w:wordWrap/>
        <w:overflowPunct/>
        <w:topLinePunct w:val="0"/>
        <w:autoSpaceDE/>
        <w:autoSpaceDN/>
        <w:bidi w:val="0"/>
        <w:adjustRightInd/>
        <w:snapToGrid/>
        <w:spacing w:line="580" w:lineRule="exact"/>
        <w:textAlignment w:val="auto"/>
        <w:rPr>
          <w:rFonts w:ascii="Times New Roman" w:hAnsi="Times New Roman" w:eastAsia="黑体"/>
          <w:sz w:val="32"/>
          <w:szCs w:val="32"/>
          <w:highlight w:val="none"/>
        </w:rPr>
      </w:pPr>
      <w:r>
        <w:rPr>
          <w:rFonts w:hint="eastAsia" w:ascii="黑体" w:hAnsi="黑体" w:eastAsia="黑体" w:cs="黑体"/>
          <w:sz w:val="32"/>
          <w:szCs w:val="32"/>
          <w:highlight w:val="none"/>
        </w:rPr>
        <w:t>附件</w:t>
      </w:r>
      <w:r>
        <w:rPr>
          <w:rFonts w:ascii="Times New Roman" w:hAnsi="Times New Roman" w:eastAsia="黑体"/>
          <w:sz w:val="32"/>
          <w:szCs w:val="32"/>
          <w:highlight w:val="none"/>
        </w:rPr>
        <w:t>1</w:t>
      </w:r>
    </w:p>
    <w:p w14:paraId="0C26C070">
      <w:pPr>
        <w:keepNext w:val="0"/>
        <w:keepLines w:val="0"/>
        <w:pageBreakBefore w:val="0"/>
        <w:kinsoku/>
        <w:wordWrap/>
        <w:overflowPunct/>
        <w:topLinePunct w:val="0"/>
        <w:autoSpaceDE/>
        <w:autoSpaceDN/>
        <w:bidi w:val="0"/>
        <w:adjustRightInd/>
        <w:snapToGrid/>
        <w:spacing w:line="580" w:lineRule="exact"/>
        <w:jc w:val="center"/>
        <w:textAlignment w:val="auto"/>
        <w:rPr>
          <w:rFonts w:ascii="Times New Roman" w:hAnsi="Times New Roman" w:eastAsia="仿宋_GB2312"/>
          <w:sz w:val="32"/>
          <w:szCs w:val="32"/>
          <w:highlight w:val="none"/>
        </w:rPr>
      </w:pPr>
    </w:p>
    <w:p w14:paraId="7884AA02">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广西科技型企业创新政策扶持“一件事”</w:t>
      </w:r>
    </w:p>
    <w:p w14:paraId="4BE1A104">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办事指南</w:t>
      </w:r>
    </w:p>
    <w:p w14:paraId="673C7D7C">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highlight w:val="none"/>
        </w:rPr>
      </w:pPr>
    </w:p>
    <w:p w14:paraId="1984B79B">
      <w:pPr>
        <w:keepNext w:val="0"/>
        <w:keepLines w:val="0"/>
        <w:pageBreakBefore w:val="0"/>
        <w:kinsoku/>
        <w:wordWrap/>
        <w:overflowPunct/>
        <w:topLinePunct w:val="0"/>
        <w:autoSpaceDE/>
        <w:autoSpaceDN/>
        <w:bidi w:val="0"/>
        <w:adjustRightInd/>
        <w:snapToGrid/>
        <w:spacing w:line="580" w:lineRule="exact"/>
        <w:ind w:firstLine="640" w:firstLineChars="200"/>
        <w:jc w:val="left"/>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一、“一件事”名称</w:t>
      </w:r>
    </w:p>
    <w:p w14:paraId="650CE82A">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color w:val="000000"/>
          <w:kern w:val="0"/>
          <w:sz w:val="32"/>
          <w:szCs w:val="32"/>
          <w:highlight w:val="none"/>
          <w:lang w:bidi="ar"/>
        </w:rPr>
      </w:pPr>
      <w:r>
        <w:rPr>
          <w:rFonts w:hint="eastAsia" w:ascii="仿宋_GB2312" w:hAnsi="仿宋_GB2312" w:eastAsia="仿宋_GB2312" w:cs="仿宋_GB2312"/>
          <w:color w:val="000000"/>
          <w:kern w:val="0"/>
          <w:sz w:val="32"/>
          <w:szCs w:val="32"/>
          <w:highlight w:val="none"/>
          <w:lang w:bidi="ar"/>
        </w:rPr>
        <w:t>科技型企业创新政策扶持“一件事”。</w:t>
      </w:r>
    </w:p>
    <w:p w14:paraId="4E30D733">
      <w:pPr>
        <w:keepNext w:val="0"/>
        <w:keepLines w:val="0"/>
        <w:pageBreakBefore w:val="0"/>
        <w:kinsoku/>
        <w:wordWrap/>
        <w:overflowPunct/>
        <w:topLinePunct w:val="0"/>
        <w:autoSpaceDE/>
        <w:autoSpaceDN/>
        <w:bidi w:val="0"/>
        <w:adjustRightInd/>
        <w:snapToGrid/>
        <w:spacing w:line="580" w:lineRule="exact"/>
        <w:ind w:firstLine="640" w:firstLineChars="200"/>
        <w:jc w:val="left"/>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二、涉及事项范围</w:t>
      </w:r>
    </w:p>
    <w:p w14:paraId="7CC0FBD4">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ascii="Times New Roman" w:hAnsi="Times New Roman" w:eastAsia="仿宋_GB2312"/>
          <w:color w:val="000000"/>
          <w:kern w:val="0"/>
          <w:sz w:val="32"/>
          <w:szCs w:val="32"/>
          <w:highlight w:val="none"/>
          <w:lang w:bidi="ar"/>
        </w:rPr>
      </w:pPr>
      <w:r>
        <w:rPr>
          <w:rFonts w:ascii="Times New Roman" w:hAnsi="Times New Roman" w:eastAsia="仿宋_GB2312"/>
          <w:color w:val="000000"/>
          <w:kern w:val="0"/>
          <w:sz w:val="32"/>
          <w:szCs w:val="32"/>
          <w:highlight w:val="none"/>
          <w:lang w:bidi="ar"/>
        </w:rPr>
        <w:t>整合科技型企业资格认定、信息共享核验、政策扶持申报3大类，共14项关联服务事项，实现一次申报、并联审批、多维核验、政策直达，具体事项及责任部门如下：</w:t>
      </w:r>
    </w:p>
    <w:tbl>
      <w:tblPr>
        <w:tblStyle w:val="7"/>
        <w:tblW w:w="98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811"/>
        <w:gridCol w:w="1666"/>
        <w:gridCol w:w="4813"/>
        <w:gridCol w:w="2512"/>
      </w:tblGrid>
      <w:tr w14:paraId="7F7FC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7" w:hRule="atLeast"/>
          <w:tblHeader/>
          <w:jc w:val="center"/>
        </w:trPr>
        <w:tc>
          <w:tcPr>
            <w:tcW w:w="811" w:type="dxa"/>
            <w:noWrap w:val="0"/>
            <w:tcMar>
              <w:top w:w="60" w:type="dxa"/>
              <w:left w:w="60" w:type="dxa"/>
              <w:bottom w:w="60" w:type="dxa"/>
              <w:right w:w="60" w:type="dxa"/>
            </w:tcMar>
            <w:vAlign w:val="center"/>
          </w:tcPr>
          <w:p w14:paraId="39020367">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黑体" w:cs="Times New Roman"/>
                <w:b w:val="0"/>
                <w:bCs w:val="0"/>
                <w:sz w:val="28"/>
                <w:szCs w:val="28"/>
                <w:highlight w:val="none"/>
              </w:rPr>
            </w:pPr>
            <w:r>
              <w:rPr>
                <w:rFonts w:hint="default" w:ascii="Times New Roman" w:hAnsi="Times New Roman" w:eastAsia="黑体" w:cs="Times New Roman"/>
                <w:b w:val="0"/>
                <w:bCs w:val="0"/>
                <w:kern w:val="0"/>
                <w:sz w:val="28"/>
                <w:szCs w:val="28"/>
                <w:highlight w:val="none"/>
                <w:lang w:val="en-US" w:eastAsia="zh-CN" w:bidi="ar"/>
              </w:rPr>
              <w:t>序号</w:t>
            </w:r>
          </w:p>
        </w:tc>
        <w:tc>
          <w:tcPr>
            <w:tcW w:w="1666" w:type="dxa"/>
            <w:noWrap w:val="0"/>
            <w:tcMar>
              <w:top w:w="60" w:type="dxa"/>
              <w:left w:w="60" w:type="dxa"/>
              <w:bottom w:w="60" w:type="dxa"/>
              <w:right w:w="60" w:type="dxa"/>
            </w:tcMar>
            <w:vAlign w:val="center"/>
          </w:tcPr>
          <w:p w14:paraId="1EB2BFA9">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黑体" w:cs="Times New Roman"/>
                <w:b w:val="0"/>
                <w:bCs w:val="0"/>
                <w:sz w:val="28"/>
                <w:szCs w:val="28"/>
                <w:highlight w:val="none"/>
                <w:lang w:val="en-US"/>
              </w:rPr>
            </w:pPr>
            <w:r>
              <w:rPr>
                <w:rFonts w:hint="default" w:ascii="Times New Roman" w:hAnsi="Times New Roman" w:eastAsia="黑体" w:cs="Times New Roman"/>
                <w:b w:val="0"/>
                <w:bCs w:val="0"/>
                <w:kern w:val="0"/>
                <w:sz w:val="28"/>
                <w:szCs w:val="28"/>
                <w:highlight w:val="none"/>
                <w:lang w:val="en-US" w:eastAsia="zh-CN" w:bidi="ar"/>
              </w:rPr>
              <w:t>事项类别</w:t>
            </w:r>
          </w:p>
        </w:tc>
        <w:tc>
          <w:tcPr>
            <w:tcW w:w="4813" w:type="dxa"/>
            <w:noWrap w:val="0"/>
            <w:tcMar>
              <w:top w:w="60" w:type="dxa"/>
              <w:left w:w="60" w:type="dxa"/>
              <w:bottom w:w="60" w:type="dxa"/>
              <w:right w:w="60" w:type="dxa"/>
            </w:tcMar>
            <w:vAlign w:val="center"/>
          </w:tcPr>
          <w:p w14:paraId="7C23EAD0">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黑体" w:cs="Times New Roman"/>
                <w:b w:val="0"/>
                <w:bCs w:val="0"/>
                <w:kern w:val="0"/>
                <w:sz w:val="28"/>
                <w:szCs w:val="28"/>
                <w:highlight w:val="none"/>
                <w:lang w:val="en-US" w:eastAsia="zh-CN" w:bidi="ar"/>
              </w:rPr>
            </w:pPr>
            <w:r>
              <w:rPr>
                <w:rFonts w:hint="default" w:ascii="Times New Roman" w:hAnsi="Times New Roman" w:eastAsia="黑体" w:cs="Times New Roman"/>
                <w:b w:val="0"/>
                <w:bCs w:val="0"/>
                <w:kern w:val="0"/>
                <w:sz w:val="28"/>
                <w:szCs w:val="28"/>
                <w:highlight w:val="none"/>
                <w:lang w:val="en-US" w:eastAsia="zh-CN" w:bidi="ar"/>
              </w:rPr>
              <w:t>具体事项名称</w:t>
            </w:r>
          </w:p>
        </w:tc>
        <w:tc>
          <w:tcPr>
            <w:tcW w:w="2512" w:type="dxa"/>
            <w:noWrap w:val="0"/>
            <w:tcMar>
              <w:top w:w="60" w:type="dxa"/>
              <w:left w:w="60" w:type="dxa"/>
              <w:bottom w:w="60" w:type="dxa"/>
              <w:right w:w="60" w:type="dxa"/>
            </w:tcMar>
            <w:vAlign w:val="center"/>
          </w:tcPr>
          <w:p w14:paraId="3110F241">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黑体" w:cs="Times New Roman"/>
                <w:b w:val="0"/>
                <w:bCs w:val="0"/>
                <w:sz w:val="28"/>
                <w:szCs w:val="28"/>
                <w:highlight w:val="none"/>
              </w:rPr>
            </w:pPr>
            <w:r>
              <w:rPr>
                <w:rFonts w:hint="default" w:ascii="Times New Roman" w:hAnsi="Times New Roman" w:eastAsia="黑体" w:cs="Times New Roman"/>
                <w:b w:val="0"/>
                <w:bCs w:val="0"/>
                <w:kern w:val="0"/>
                <w:sz w:val="28"/>
                <w:szCs w:val="28"/>
                <w:highlight w:val="none"/>
                <w:lang w:val="en-US" w:eastAsia="zh-CN" w:bidi="ar"/>
              </w:rPr>
              <w:t>责任部门</w:t>
            </w:r>
          </w:p>
        </w:tc>
      </w:tr>
      <w:tr w14:paraId="7482F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7" w:hRule="atLeast"/>
          <w:jc w:val="center"/>
        </w:trPr>
        <w:tc>
          <w:tcPr>
            <w:tcW w:w="811" w:type="dxa"/>
            <w:noWrap w:val="0"/>
            <w:tcMar>
              <w:top w:w="60" w:type="dxa"/>
              <w:left w:w="60" w:type="dxa"/>
              <w:bottom w:w="60" w:type="dxa"/>
              <w:right w:w="60" w:type="dxa"/>
            </w:tcMar>
            <w:vAlign w:val="center"/>
          </w:tcPr>
          <w:p w14:paraId="2E6B79A2">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kern w:val="0"/>
                <w:sz w:val="28"/>
                <w:szCs w:val="28"/>
                <w:highlight w:val="none"/>
                <w:lang w:val="en-US" w:eastAsia="zh-CN" w:bidi="ar"/>
              </w:rPr>
            </w:pPr>
            <w:r>
              <w:rPr>
                <w:rFonts w:hint="default" w:ascii="Times New Roman" w:hAnsi="Times New Roman" w:eastAsia="仿宋_GB2312" w:cs="Times New Roman"/>
                <w:kern w:val="0"/>
                <w:sz w:val="28"/>
                <w:szCs w:val="28"/>
                <w:highlight w:val="none"/>
                <w:lang w:val="en-US" w:eastAsia="zh-CN" w:bidi="ar"/>
              </w:rPr>
              <w:t>1</w:t>
            </w:r>
          </w:p>
        </w:tc>
        <w:tc>
          <w:tcPr>
            <w:tcW w:w="1666" w:type="dxa"/>
            <w:vMerge w:val="restart"/>
            <w:noWrap w:val="0"/>
            <w:tcMar>
              <w:top w:w="60" w:type="dxa"/>
              <w:left w:w="60" w:type="dxa"/>
              <w:bottom w:w="60" w:type="dxa"/>
              <w:right w:w="60" w:type="dxa"/>
            </w:tcMar>
            <w:vAlign w:val="center"/>
          </w:tcPr>
          <w:p w14:paraId="3BD92E79">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kern w:val="0"/>
                <w:sz w:val="28"/>
                <w:szCs w:val="28"/>
                <w:highlight w:val="none"/>
                <w:lang w:val="en-US" w:eastAsia="zh-CN" w:bidi="ar"/>
              </w:rPr>
            </w:pPr>
            <w:r>
              <w:rPr>
                <w:rFonts w:hint="default" w:ascii="Times New Roman" w:hAnsi="Times New Roman" w:eastAsia="仿宋_GB2312" w:cs="Times New Roman"/>
                <w:kern w:val="0"/>
                <w:sz w:val="28"/>
                <w:szCs w:val="28"/>
                <w:highlight w:val="none"/>
                <w:lang w:val="en-US" w:eastAsia="zh-CN" w:bidi="ar"/>
              </w:rPr>
              <w:t>科技型企业资格认定</w:t>
            </w:r>
          </w:p>
        </w:tc>
        <w:tc>
          <w:tcPr>
            <w:tcW w:w="4813" w:type="dxa"/>
            <w:noWrap w:val="0"/>
            <w:tcMar>
              <w:top w:w="60" w:type="dxa"/>
              <w:left w:w="60" w:type="dxa"/>
              <w:bottom w:w="60" w:type="dxa"/>
              <w:right w:w="60" w:type="dxa"/>
            </w:tcMar>
            <w:vAlign w:val="center"/>
          </w:tcPr>
          <w:p w14:paraId="33BE16A3">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default" w:ascii="Times New Roman" w:hAnsi="Times New Roman" w:eastAsia="仿宋_GB2312" w:cs="Times New Roman"/>
                <w:kern w:val="0"/>
                <w:sz w:val="28"/>
                <w:szCs w:val="28"/>
                <w:highlight w:val="none"/>
                <w:lang w:val="en-US" w:eastAsia="zh-CN" w:bidi="ar"/>
              </w:rPr>
            </w:pPr>
            <w:r>
              <w:rPr>
                <w:rFonts w:hint="default" w:ascii="Times New Roman" w:hAnsi="Times New Roman" w:eastAsia="仿宋_GB2312" w:cs="Times New Roman"/>
                <w:kern w:val="0"/>
                <w:sz w:val="28"/>
                <w:szCs w:val="28"/>
                <w:highlight w:val="none"/>
                <w:lang w:val="en-US" w:eastAsia="zh-CN" w:bidi="ar"/>
              </w:rPr>
              <w:t>高新技术企业认定</w:t>
            </w:r>
          </w:p>
        </w:tc>
        <w:tc>
          <w:tcPr>
            <w:tcW w:w="2512" w:type="dxa"/>
            <w:noWrap w:val="0"/>
            <w:tcMar>
              <w:top w:w="60" w:type="dxa"/>
              <w:left w:w="60" w:type="dxa"/>
              <w:bottom w:w="60" w:type="dxa"/>
              <w:right w:w="60" w:type="dxa"/>
            </w:tcMar>
            <w:vAlign w:val="center"/>
          </w:tcPr>
          <w:p w14:paraId="1EC5D7EB">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default" w:ascii="Times New Roman" w:hAnsi="Times New Roman" w:eastAsia="仿宋_GB2312" w:cs="Times New Roman"/>
                <w:kern w:val="0"/>
                <w:sz w:val="28"/>
                <w:szCs w:val="28"/>
                <w:highlight w:val="none"/>
                <w:lang w:val="en-US" w:eastAsia="zh-CN" w:bidi="ar"/>
              </w:rPr>
            </w:pPr>
            <w:r>
              <w:rPr>
                <w:rFonts w:hint="default" w:ascii="Times New Roman" w:hAnsi="Times New Roman" w:eastAsia="仿宋_GB2312" w:cs="Times New Roman"/>
                <w:kern w:val="0"/>
                <w:sz w:val="28"/>
                <w:szCs w:val="28"/>
                <w:highlight w:val="none"/>
                <w:lang w:val="en-US" w:eastAsia="zh-CN" w:bidi="ar"/>
              </w:rPr>
              <w:t>自治区科技厅、自治区财政厅，广西税务局</w:t>
            </w:r>
          </w:p>
        </w:tc>
      </w:tr>
      <w:tr w14:paraId="218E9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7" w:hRule="atLeast"/>
          <w:jc w:val="center"/>
        </w:trPr>
        <w:tc>
          <w:tcPr>
            <w:tcW w:w="811" w:type="dxa"/>
            <w:noWrap w:val="0"/>
            <w:tcMar>
              <w:top w:w="60" w:type="dxa"/>
              <w:left w:w="60" w:type="dxa"/>
              <w:bottom w:w="60" w:type="dxa"/>
              <w:right w:w="60" w:type="dxa"/>
            </w:tcMar>
            <w:vAlign w:val="center"/>
          </w:tcPr>
          <w:p w14:paraId="6EE506F3">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kern w:val="0"/>
                <w:sz w:val="28"/>
                <w:szCs w:val="28"/>
                <w:highlight w:val="none"/>
                <w:lang w:val="en-US" w:eastAsia="zh-CN" w:bidi="ar"/>
              </w:rPr>
            </w:pPr>
            <w:r>
              <w:rPr>
                <w:rFonts w:hint="default" w:ascii="Times New Roman" w:hAnsi="Times New Roman" w:eastAsia="仿宋_GB2312" w:cs="Times New Roman"/>
                <w:kern w:val="0"/>
                <w:sz w:val="28"/>
                <w:szCs w:val="28"/>
                <w:highlight w:val="none"/>
                <w:lang w:val="en-US" w:eastAsia="zh-CN" w:bidi="ar"/>
              </w:rPr>
              <w:t>2</w:t>
            </w:r>
          </w:p>
        </w:tc>
        <w:tc>
          <w:tcPr>
            <w:tcW w:w="1666" w:type="dxa"/>
            <w:vMerge w:val="continue"/>
            <w:noWrap w:val="0"/>
            <w:tcMar>
              <w:top w:w="60" w:type="dxa"/>
              <w:left w:w="60" w:type="dxa"/>
              <w:bottom w:w="60" w:type="dxa"/>
              <w:right w:w="60" w:type="dxa"/>
            </w:tcMar>
            <w:vAlign w:val="center"/>
          </w:tcPr>
          <w:p w14:paraId="20DD530D">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kern w:val="0"/>
                <w:sz w:val="28"/>
                <w:szCs w:val="28"/>
                <w:highlight w:val="none"/>
                <w:lang w:val="en-US" w:eastAsia="zh-CN" w:bidi="ar"/>
              </w:rPr>
            </w:pPr>
          </w:p>
        </w:tc>
        <w:tc>
          <w:tcPr>
            <w:tcW w:w="4813" w:type="dxa"/>
            <w:noWrap w:val="0"/>
            <w:tcMar>
              <w:top w:w="60" w:type="dxa"/>
              <w:left w:w="60" w:type="dxa"/>
              <w:bottom w:w="60" w:type="dxa"/>
              <w:right w:w="60" w:type="dxa"/>
            </w:tcMar>
            <w:vAlign w:val="center"/>
          </w:tcPr>
          <w:p w14:paraId="086E5292">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default" w:ascii="Times New Roman" w:hAnsi="Times New Roman" w:eastAsia="仿宋_GB2312" w:cs="Times New Roman"/>
                <w:kern w:val="0"/>
                <w:sz w:val="28"/>
                <w:szCs w:val="28"/>
                <w:highlight w:val="none"/>
                <w:lang w:val="en-US" w:eastAsia="zh-CN" w:bidi="ar"/>
              </w:rPr>
            </w:pPr>
            <w:r>
              <w:rPr>
                <w:rFonts w:hint="default" w:ascii="Times New Roman" w:hAnsi="Times New Roman" w:eastAsia="仿宋_GB2312" w:cs="Times New Roman"/>
                <w:kern w:val="0"/>
                <w:sz w:val="28"/>
                <w:szCs w:val="28"/>
                <w:highlight w:val="none"/>
                <w:lang w:val="en-US" w:eastAsia="zh-CN" w:bidi="ar"/>
              </w:rPr>
              <w:t>科技型中小企业评价</w:t>
            </w:r>
          </w:p>
        </w:tc>
        <w:tc>
          <w:tcPr>
            <w:tcW w:w="2512" w:type="dxa"/>
            <w:noWrap w:val="0"/>
            <w:tcMar>
              <w:top w:w="60" w:type="dxa"/>
              <w:left w:w="60" w:type="dxa"/>
              <w:bottom w:w="60" w:type="dxa"/>
              <w:right w:w="60" w:type="dxa"/>
            </w:tcMar>
            <w:vAlign w:val="center"/>
          </w:tcPr>
          <w:p w14:paraId="2419BC25">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default" w:ascii="Times New Roman" w:hAnsi="Times New Roman" w:eastAsia="仿宋_GB2312" w:cs="Times New Roman"/>
                <w:kern w:val="0"/>
                <w:sz w:val="28"/>
                <w:szCs w:val="28"/>
                <w:highlight w:val="none"/>
                <w:lang w:val="en-US" w:eastAsia="zh-CN" w:bidi="ar"/>
              </w:rPr>
            </w:pPr>
            <w:r>
              <w:rPr>
                <w:rFonts w:hint="default" w:ascii="Times New Roman" w:hAnsi="Times New Roman" w:eastAsia="仿宋_GB2312" w:cs="Times New Roman"/>
                <w:kern w:val="0"/>
                <w:sz w:val="28"/>
                <w:szCs w:val="28"/>
                <w:highlight w:val="none"/>
                <w:lang w:val="en-US" w:eastAsia="zh-CN" w:bidi="ar"/>
              </w:rPr>
              <w:t>自治区科技厅</w:t>
            </w:r>
          </w:p>
        </w:tc>
      </w:tr>
      <w:tr w14:paraId="1AE89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7" w:hRule="atLeast"/>
          <w:jc w:val="center"/>
        </w:trPr>
        <w:tc>
          <w:tcPr>
            <w:tcW w:w="811" w:type="dxa"/>
            <w:noWrap w:val="0"/>
            <w:tcMar>
              <w:top w:w="60" w:type="dxa"/>
              <w:left w:w="60" w:type="dxa"/>
              <w:bottom w:w="60" w:type="dxa"/>
              <w:right w:w="60" w:type="dxa"/>
            </w:tcMar>
            <w:vAlign w:val="center"/>
          </w:tcPr>
          <w:p w14:paraId="71CBB089">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kern w:val="0"/>
                <w:sz w:val="28"/>
                <w:szCs w:val="28"/>
                <w:highlight w:val="none"/>
                <w:lang w:val="en-US" w:eastAsia="zh-CN" w:bidi="ar"/>
              </w:rPr>
            </w:pPr>
            <w:r>
              <w:rPr>
                <w:rFonts w:hint="default" w:ascii="Times New Roman" w:hAnsi="Times New Roman" w:eastAsia="仿宋_GB2312" w:cs="Times New Roman"/>
                <w:kern w:val="0"/>
                <w:sz w:val="28"/>
                <w:szCs w:val="28"/>
                <w:highlight w:val="none"/>
                <w:lang w:val="en-US" w:eastAsia="zh-CN" w:bidi="ar"/>
              </w:rPr>
              <w:t>3</w:t>
            </w:r>
          </w:p>
        </w:tc>
        <w:tc>
          <w:tcPr>
            <w:tcW w:w="1666" w:type="dxa"/>
            <w:vMerge w:val="continue"/>
            <w:noWrap w:val="0"/>
            <w:tcMar>
              <w:top w:w="60" w:type="dxa"/>
              <w:left w:w="60" w:type="dxa"/>
              <w:bottom w:w="60" w:type="dxa"/>
              <w:right w:w="60" w:type="dxa"/>
            </w:tcMar>
            <w:vAlign w:val="center"/>
          </w:tcPr>
          <w:p w14:paraId="35111295">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kern w:val="0"/>
                <w:sz w:val="28"/>
                <w:szCs w:val="28"/>
                <w:highlight w:val="none"/>
                <w:lang w:val="en-US" w:eastAsia="zh-CN" w:bidi="ar"/>
              </w:rPr>
            </w:pPr>
          </w:p>
        </w:tc>
        <w:tc>
          <w:tcPr>
            <w:tcW w:w="4813" w:type="dxa"/>
            <w:noWrap w:val="0"/>
            <w:tcMar>
              <w:top w:w="60" w:type="dxa"/>
              <w:left w:w="60" w:type="dxa"/>
              <w:bottom w:w="60" w:type="dxa"/>
              <w:right w:w="60" w:type="dxa"/>
            </w:tcMar>
            <w:vAlign w:val="center"/>
          </w:tcPr>
          <w:p w14:paraId="31741142">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default" w:ascii="Times New Roman" w:hAnsi="Times New Roman" w:eastAsia="仿宋_GB2312" w:cs="Times New Roman"/>
                <w:kern w:val="0"/>
                <w:sz w:val="28"/>
                <w:szCs w:val="28"/>
                <w:highlight w:val="none"/>
                <w:lang w:val="en-US" w:eastAsia="zh-CN" w:bidi="ar"/>
              </w:rPr>
            </w:pPr>
            <w:r>
              <w:rPr>
                <w:rFonts w:hint="default" w:ascii="Times New Roman" w:hAnsi="Times New Roman" w:eastAsia="仿宋_GB2312" w:cs="Times New Roman"/>
                <w:kern w:val="0"/>
                <w:sz w:val="28"/>
                <w:szCs w:val="28"/>
                <w:highlight w:val="none"/>
                <w:lang w:val="en-US" w:eastAsia="zh-CN" w:bidi="ar"/>
              </w:rPr>
              <w:t>瞪羚企业认定</w:t>
            </w:r>
          </w:p>
        </w:tc>
        <w:tc>
          <w:tcPr>
            <w:tcW w:w="2512" w:type="dxa"/>
            <w:noWrap w:val="0"/>
            <w:tcMar>
              <w:top w:w="60" w:type="dxa"/>
              <w:left w:w="60" w:type="dxa"/>
              <w:bottom w:w="60" w:type="dxa"/>
              <w:right w:w="60" w:type="dxa"/>
            </w:tcMar>
            <w:vAlign w:val="center"/>
          </w:tcPr>
          <w:p w14:paraId="3858B014">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default" w:ascii="Times New Roman" w:hAnsi="Times New Roman" w:eastAsia="仿宋_GB2312" w:cs="Times New Roman"/>
                <w:kern w:val="0"/>
                <w:sz w:val="28"/>
                <w:szCs w:val="28"/>
                <w:highlight w:val="none"/>
                <w:lang w:val="en-US" w:eastAsia="zh-CN" w:bidi="ar"/>
              </w:rPr>
            </w:pPr>
            <w:r>
              <w:rPr>
                <w:rFonts w:hint="default" w:ascii="Times New Roman" w:hAnsi="Times New Roman" w:eastAsia="仿宋_GB2312" w:cs="Times New Roman"/>
                <w:kern w:val="0"/>
                <w:sz w:val="28"/>
                <w:szCs w:val="28"/>
                <w:highlight w:val="none"/>
                <w:lang w:val="en-US" w:eastAsia="zh-CN" w:bidi="ar"/>
              </w:rPr>
              <w:t>自治区科技厅</w:t>
            </w:r>
          </w:p>
        </w:tc>
      </w:tr>
      <w:tr w14:paraId="059B8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7" w:hRule="atLeast"/>
          <w:jc w:val="center"/>
        </w:trPr>
        <w:tc>
          <w:tcPr>
            <w:tcW w:w="811" w:type="dxa"/>
            <w:noWrap w:val="0"/>
            <w:tcMar>
              <w:top w:w="60" w:type="dxa"/>
              <w:left w:w="60" w:type="dxa"/>
              <w:bottom w:w="60" w:type="dxa"/>
              <w:right w:w="60" w:type="dxa"/>
            </w:tcMar>
            <w:vAlign w:val="center"/>
          </w:tcPr>
          <w:p w14:paraId="46AF5584">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kern w:val="0"/>
                <w:sz w:val="28"/>
                <w:szCs w:val="28"/>
                <w:highlight w:val="none"/>
                <w:lang w:val="en-US" w:eastAsia="zh-CN" w:bidi="ar"/>
              </w:rPr>
              <w:t>4</w:t>
            </w:r>
          </w:p>
        </w:tc>
        <w:tc>
          <w:tcPr>
            <w:tcW w:w="1666" w:type="dxa"/>
            <w:vMerge w:val="restart"/>
            <w:noWrap w:val="0"/>
            <w:tcMar>
              <w:top w:w="60" w:type="dxa"/>
              <w:left w:w="60" w:type="dxa"/>
              <w:bottom w:w="60" w:type="dxa"/>
              <w:right w:w="60" w:type="dxa"/>
            </w:tcMar>
            <w:vAlign w:val="center"/>
          </w:tcPr>
          <w:p w14:paraId="5A0A1349">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kern w:val="0"/>
                <w:sz w:val="28"/>
                <w:szCs w:val="28"/>
                <w:highlight w:val="none"/>
                <w:lang w:val="en-US" w:eastAsia="zh-CN" w:bidi="ar"/>
              </w:rPr>
            </w:pPr>
            <w:r>
              <w:rPr>
                <w:rFonts w:hint="default" w:ascii="Times New Roman" w:hAnsi="Times New Roman" w:eastAsia="仿宋_GB2312" w:cs="Times New Roman"/>
                <w:kern w:val="0"/>
                <w:sz w:val="28"/>
                <w:szCs w:val="28"/>
                <w:highlight w:val="none"/>
                <w:lang w:val="en-US" w:eastAsia="zh-CN" w:bidi="ar"/>
              </w:rPr>
              <w:t>科技型企业信息共享与信息核验</w:t>
            </w:r>
          </w:p>
        </w:tc>
        <w:tc>
          <w:tcPr>
            <w:tcW w:w="4813" w:type="dxa"/>
            <w:noWrap w:val="0"/>
            <w:tcMar>
              <w:top w:w="60" w:type="dxa"/>
              <w:left w:w="60" w:type="dxa"/>
              <w:bottom w:w="60" w:type="dxa"/>
              <w:right w:w="60" w:type="dxa"/>
            </w:tcMar>
            <w:vAlign w:val="center"/>
          </w:tcPr>
          <w:p w14:paraId="2FBE91A2">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kern w:val="0"/>
                <w:sz w:val="28"/>
                <w:szCs w:val="28"/>
                <w:highlight w:val="none"/>
                <w:lang w:val="en-US" w:eastAsia="zh-CN" w:bidi="ar"/>
              </w:rPr>
              <w:t>高新技术企业评价认定信息核验</w:t>
            </w:r>
          </w:p>
        </w:tc>
        <w:tc>
          <w:tcPr>
            <w:tcW w:w="2512" w:type="dxa"/>
            <w:noWrap w:val="0"/>
            <w:tcMar>
              <w:top w:w="60" w:type="dxa"/>
              <w:left w:w="60" w:type="dxa"/>
              <w:bottom w:w="60" w:type="dxa"/>
              <w:right w:w="60" w:type="dxa"/>
            </w:tcMar>
            <w:vAlign w:val="center"/>
          </w:tcPr>
          <w:p w14:paraId="52AC22CB">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default" w:ascii="Times New Roman" w:hAnsi="Times New Roman" w:eastAsia="仿宋_GB2312" w:cs="Times New Roman"/>
                <w:sz w:val="28"/>
                <w:szCs w:val="28"/>
                <w:highlight w:val="none"/>
                <w:lang w:val="en-US"/>
              </w:rPr>
            </w:pPr>
            <w:r>
              <w:rPr>
                <w:rFonts w:hint="default" w:ascii="Times New Roman" w:hAnsi="Times New Roman" w:eastAsia="仿宋_GB2312" w:cs="Times New Roman"/>
                <w:kern w:val="0"/>
                <w:sz w:val="28"/>
                <w:szCs w:val="28"/>
                <w:highlight w:val="none"/>
                <w:lang w:val="en-US" w:eastAsia="zh-CN" w:bidi="ar"/>
              </w:rPr>
              <w:t>自治区科技厅</w:t>
            </w:r>
          </w:p>
        </w:tc>
      </w:tr>
      <w:tr w14:paraId="0961E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7" w:hRule="atLeast"/>
          <w:jc w:val="center"/>
        </w:trPr>
        <w:tc>
          <w:tcPr>
            <w:tcW w:w="811" w:type="dxa"/>
            <w:noWrap w:val="0"/>
            <w:tcMar>
              <w:top w:w="60" w:type="dxa"/>
              <w:left w:w="60" w:type="dxa"/>
              <w:bottom w:w="60" w:type="dxa"/>
              <w:right w:w="60" w:type="dxa"/>
            </w:tcMar>
            <w:vAlign w:val="center"/>
          </w:tcPr>
          <w:p w14:paraId="3C162954">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kern w:val="0"/>
                <w:sz w:val="28"/>
                <w:szCs w:val="28"/>
                <w:highlight w:val="none"/>
                <w:lang w:val="en-US" w:eastAsia="zh-CN" w:bidi="ar"/>
              </w:rPr>
              <w:t>5</w:t>
            </w:r>
          </w:p>
        </w:tc>
        <w:tc>
          <w:tcPr>
            <w:tcW w:w="1666" w:type="dxa"/>
            <w:vMerge w:val="continue"/>
            <w:noWrap w:val="0"/>
            <w:tcMar>
              <w:top w:w="60" w:type="dxa"/>
              <w:left w:w="60" w:type="dxa"/>
              <w:bottom w:w="60" w:type="dxa"/>
              <w:right w:w="60" w:type="dxa"/>
            </w:tcMar>
            <w:vAlign w:val="center"/>
          </w:tcPr>
          <w:p w14:paraId="4A99ABA5">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kern w:val="0"/>
                <w:sz w:val="28"/>
                <w:szCs w:val="28"/>
                <w:highlight w:val="none"/>
                <w:lang w:val="en-US" w:eastAsia="zh-CN" w:bidi="ar"/>
              </w:rPr>
            </w:pPr>
          </w:p>
        </w:tc>
        <w:tc>
          <w:tcPr>
            <w:tcW w:w="4813" w:type="dxa"/>
            <w:noWrap w:val="0"/>
            <w:tcMar>
              <w:top w:w="60" w:type="dxa"/>
              <w:left w:w="60" w:type="dxa"/>
              <w:bottom w:w="60" w:type="dxa"/>
              <w:right w:w="60" w:type="dxa"/>
            </w:tcMar>
            <w:vAlign w:val="center"/>
          </w:tcPr>
          <w:p w14:paraId="4D4A4A3A">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kern w:val="0"/>
                <w:sz w:val="28"/>
                <w:szCs w:val="28"/>
                <w:highlight w:val="none"/>
                <w:lang w:val="en-US" w:eastAsia="zh-CN" w:bidi="ar"/>
              </w:rPr>
              <w:t>高新技术企业知识产权信息共享</w:t>
            </w:r>
          </w:p>
        </w:tc>
        <w:tc>
          <w:tcPr>
            <w:tcW w:w="2512" w:type="dxa"/>
            <w:noWrap w:val="0"/>
            <w:tcMar>
              <w:top w:w="60" w:type="dxa"/>
              <w:left w:w="60" w:type="dxa"/>
              <w:bottom w:w="60" w:type="dxa"/>
              <w:right w:w="60" w:type="dxa"/>
            </w:tcMar>
            <w:vAlign w:val="center"/>
          </w:tcPr>
          <w:p w14:paraId="6BD57ECA">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default" w:ascii="Times New Roman" w:hAnsi="Times New Roman" w:eastAsia="仿宋_GB2312" w:cs="Times New Roman"/>
                <w:sz w:val="28"/>
                <w:szCs w:val="28"/>
                <w:highlight w:val="none"/>
                <w:lang w:val="en-US"/>
              </w:rPr>
            </w:pPr>
            <w:r>
              <w:rPr>
                <w:rFonts w:hint="default" w:ascii="Times New Roman" w:hAnsi="Times New Roman" w:eastAsia="仿宋_GB2312" w:cs="Times New Roman"/>
                <w:kern w:val="0"/>
                <w:sz w:val="28"/>
                <w:szCs w:val="28"/>
                <w:highlight w:val="none"/>
                <w:lang w:val="en-US" w:eastAsia="zh-CN" w:bidi="ar"/>
              </w:rPr>
              <w:t>自治区市场监管局（知识产权局）</w:t>
            </w:r>
          </w:p>
        </w:tc>
      </w:tr>
      <w:tr w14:paraId="25333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7" w:hRule="atLeast"/>
          <w:jc w:val="center"/>
        </w:trPr>
        <w:tc>
          <w:tcPr>
            <w:tcW w:w="811" w:type="dxa"/>
            <w:noWrap w:val="0"/>
            <w:tcMar>
              <w:top w:w="60" w:type="dxa"/>
              <w:left w:w="60" w:type="dxa"/>
              <w:bottom w:w="60" w:type="dxa"/>
              <w:right w:w="60" w:type="dxa"/>
            </w:tcMar>
            <w:vAlign w:val="center"/>
          </w:tcPr>
          <w:p w14:paraId="54F957D7">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kern w:val="0"/>
                <w:sz w:val="28"/>
                <w:szCs w:val="28"/>
                <w:highlight w:val="none"/>
                <w:lang w:val="en-US" w:eastAsia="zh-CN" w:bidi="ar"/>
              </w:rPr>
              <w:t>6</w:t>
            </w:r>
          </w:p>
        </w:tc>
        <w:tc>
          <w:tcPr>
            <w:tcW w:w="1666" w:type="dxa"/>
            <w:vMerge w:val="continue"/>
            <w:noWrap w:val="0"/>
            <w:tcMar>
              <w:top w:w="60" w:type="dxa"/>
              <w:left w:w="60" w:type="dxa"/>
              <w:bottom w:w="60" w:type="dxa"/>
              <w:right w:w="60" w:type="dxa"/>
            </w:tcMar>
            <w:vAlign w:val="center"/>
          </w:tcPr>
          <w:p w14:paraId="0E07304F">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kern w:val="0"/>
                <w:sz w:val="28"/>
                <w:szCs w:val="28"/>
                <w:highlight w:val="none"/>
                <w:lang w:val="en-US" w:eastAsia="zh-CN" w:bidi="ar"/>
              </w:rPr>
            </w:pPr>
          </w:p>
        </w:tc>
        <w:tc>
          <w:tcPr>
            <w:tcW w:w="4813" w:type="dxa"/>
            <w:noWrap w:val="0"/>
            <w:tcMar>
              <w:top w:w="60" w:type="dxa"/>
              <w:left w:w="60" w:type="dxa"/>
              <w:bottom w:w="60" w:type="dxa"/>
              <w:right w:w="60" w:type="dxa"/>
            </w:tcMar>
            <w:vAlign w:val="center"/>
          </w:tcPr>
          <w:p w14:paraId="66F96003">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kern w:val="0"/>
                <w:sz w:val="28"/>
                <w:szCs w:val="28"/>
                <w:highlight w:val="none"/>
                <w:lang w:val="en-US" w:eastAsia="zh-CN" w:bidi="ar"/>
              </w:rPr>
              <w:t>高新技术企业审计报告报备信息共享</w:t>
            </w:r>
          </w:p>
        </w:tc>
        <w:tc>
          <w:tcPr>
            <w:tcW w:w="2512" w:type="dxa"/>
            <w:noWrap w:val="0"/>
            <w:tcMar>
              <w:top w:w="60" w:type="dxa"/>
              <w:left w:w="60" w:type="dxa"/>
              <w:bottom w:w="60" w:type="dxa"/>
              <w:right w:w="60" w:type="dxa"/>
            </w:tcMar>
            <w:vAlign w:val="center"/>
          </w:tcPr>
          <w:p w14:paraId="5E79AA54">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default" w:ascii="Times New Roman" w:hAnsi="Times New Roman" w:eastAsia="仿宋_GB2312" w:cs="Times New Roman"/>
                <w:sz w:val="28"/>
                <w:szCs w:val="28"/>
                <w:highlight w:val="none"/>
                <w:lang w:val="en-US"/>
              </w:rPr>
            </w:pPr>
            <w:r>
              <w:rPr>
                <w:rFonts w:hint="default" w:ascii="Times New Roman" w:hAnsi="Times New Roman" w:eastAsia="仿宋_GB2312" w:cs="Times New Roman"/>
                <w:kern w:val="0"/>
                <w:sz w:val="28"/>
                <w:szCs w:val="28"/>
                <w:highlight w:val="none"/>
                <w:lang w:val="en-US" w:eastAsia="zh-CN" w:bidi="ar"/>
              </w:rPr>
              <w:t>自治区财政厅</w:t>
            </w:r>
          </w:p>
        </w:tc>
      </w:tr>
      <w:tr w14:paraId="10401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7" w:hRule="atLeast"/>
          <w:jc w:val="center"/>
        </w:trPr>
        <w:tc>
          <w:tcPr>
            <w:tcW w:w="811" w:type="dxa"/>
            <w:noWrap w:val="0"/>
            <w:tcMar>
              <w:top w:w="60" w:type="dxa"/>
              <w:left w:w="60" w:type="dxa"/>
              <w:bottom w:w="60" w:type="dxa"/>
              <w:right w:w="60" w:type="dxa"/>
            </w:tcMar>
            <w:vAlign w:val="center"/>
          </w:tcPr>
          <w:p w14:paraId="5EA5C8FE">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sz w:val="28"/>
                <w:szCs w:val="28"/>
                <w:highlight w:val="none"/>
              </w:rPr>
            </w:pPr>
            <w:r>
              <w:rPr>
                <w:rFonts w:hint="eastAsia" w:ascii="Times New Roman" w:hAnsi="Times New Roman" w:eastAsia="仿宋_GB2312" w:cs="Times New Roman"/>
                <w:kern w:val="0"/>
                <w:sz w:val="28"/>
                <w:szCs w:val="28"/>
                <w:highlight w:val="none"/>
                <w:lang w:val="en-US" w:eastAsia="zh-CN" w:bidi="ar"/>
              </w:rPr>
              <w:t>7</w:t>
            </w:r>
          </w:p>
        </w:tc>
        <w:tc>
          <w:tcPr>
            <w:tcW w:w="1666" w:type="dxa"/>
            <w:vMerge w:val="continue"/>
            <w:noWrap w:val="0"/>
            <w:tcMar>
              <w:top w:w="60" w:type="dxa"/>
              <w:left w:w="60" w:type="dxa"/>
              <w:bottom w:w="60" w:type="dxa"/>
              <w:right w:w="60" w:type="dxa"/>
            </w:tcMar>
            <w:vAlign w:val="center"/>
          </w:tcPr>
          <w:p w14:paraId="6A86CDCD">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kern w:val="0"/>
                <w:sz w:val="28"/>
                <w:szCs w:val="28"/>
                <w:highlight w:val="none"/>
                <w:lang w:val="en-US" w:eastAsia="zh-CN" w:bidi="ar"/>
              </w:rPr>
            </w:pPr>
          </w:p>
        </w:tc>
        <w:tc>
          <w:tcPr>
            <w:tcW w:w="4813" w:type="dxa"/>
            <w:noWrap w:val="0"/>
            <w:tcMar>
              <w:top w:w="60" w:type="dxa"/>
              <w:left w:w="60" w:type="dxa"/>
              <w:bottom w:w="60" w:type="dxa"/>
              <w:right w:w="60" w:type="dxa"/>
            </w:tcMar>
            <w:vAlign w:val="center"/>
          </w:tcPr>
          <w:p w14:paraId="667680B6">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pacing w:val="-6"/>
                <w:kern w:val="0"/>
                <w:sz w:val="28"/>
                <w:szCs w:val="28"/>
                <w:highlight w:val="none"/>
                <w:lang w:val="en-US" w:eastAsia="zh-CN" w:bidi="ar"/>
              </w:rPr>
              <w:t>高新技术企业海关失信和处罚信息核验</w:t>
            </w:r>
          </w:p>
        </w:tc>
        <w:tc>
          <w:tcPr>
            <w:tcW w:w="2512" w:type="dxa"/>
            <w:noWrap w:val="0"/>
            <w:tcMar>
              <w:top w:w="60" w:type="dxa"/>
              <w:left w:w="60" w:type="dxa"/>
              <w:bottom w:w="60" w:type="dxa"/>
              <w:right w:w="60" w:type="dxa"/>
            </w:tcMar>
            <w:vAlign w:val="center"/>
          </w:tcPr>
          <w:p w14:paraId="3C4875D5">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default" w:ascii="Times New Roman" w:hAnsi="Times New Roman" w:eastAsia="仿宋_GB2312" w:cs="Times New Roman"/>
                <w:sz w:val="28"/>
                <w:szCs w:val="28"/>
                <w:highlight w:val="none"/>
                <w:lang w:val="en-US" w:eastAsia="zh-CN"/>
              </w:rPr>
            </w:pPr>
            <w:r>
              <w:rPr>
                <w:rFonts w:hint="eastAsia" w:ascii="Times New Roman" w:hAnsi="Times New Roman" w:eastAsia="仿宋_GB2312" w:cs="Times New Roman"/>
                <w:sz w:val="28"/>
                <w:szCs w:val="28"/>
                <w:highlight w:val="none"/>
                <w:lang w:val="en-US" w:eastAsia="zh-CN"/>
              </w:rPr>
              <w:t>南宁海关</w:t>
            </w:r>
          </w:p>
        </w:tc>
      </w:tr>
      <w:tr w14:paraId="7561B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7" w:hRule="atLeast"/>
          <w:jc w:val="center"/>
        </w:trPr>
        <w:tc>
          <w:tcPr>
            <w:tcW w:w="811" w:type="dxa"/>
            <w:noWrap w:val="0"/>
            <w:tcMar>
              <w:top w:w="60" w:type="dxa"/>
              <w:left w:w="60" w:type="dxa"/>
              <w:bottom w:w="60" w:type="dxa"/>
              <w:right w:w="60" w:type="dxa"/>
            </w:tcMar>
            <w:vAlign w:val="center"/>
          </w:tcPr>
          <w:p w14:paraId="45ED1E61">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sz w:val="28"/>
                <w:szCs w:val="28"/>
                <w:highlight w:val="none"/>
              </w:rPr>
            </w:pPr>
            <w:r>
              <w:rPr>
                <w:rFonts w:hint="eastAsia" w:ascii="Times New Roman" w:hAnsi="Times New Roman" w:eastAsia="仿宋_GB2312" w:cs="Times New Roman"/>
                <w:kern w:val="0"/>
                <w:sz w:val="28"/>
                <w:szCs w:val="28"/>
                <w:highlight w:val="none"/>
                <w:lang w:val="en-US" w:eastAsia="zh-CN" w:bidi="ar"/>
              </w:rPr>
              <w:t>8</w:t>
            </w:r>
          </w:p>
        </w:tc>
        <w:tc>
          <w:tcPr>
            <w:tcW w:w="1666" w:type="dxa"/>
            <w:vMerge w:val="continue"/>
            <w:noWrap w:val="0"/>
            <w:tcMar>
              <w:top w:w="60" w:type="dxa"/>
              <w:left w:w="60" w:type="dxa"/>
              <w:bottom w:w="60" w:type="dxa"/>
              <w:right w:w="60" w:type="dxa"/>
            </w:tcMar>
            <w:vAlign w:val="center"/>
          </w:tcPr>
          <w:p w14:paraId="1FDE7932">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kern w:val="0"/>
                <w:sz w:val="28"/>
                <w:szCs w:val="28"/>
                <w:highlight w:val="none"/>
                <w:lang w:val="en-US" w:eastAsia="zh-CN" w:bidi="ar"/>
              </w:rPr>
            </w:pPr>
          </w:p>
        </w:tc>
        <w:tc>
          <w:tcPr>
            <w:tcW w:w="4813" w:type="dxa"/>
            <w:noWrap w:val="0"/>
            <w:tcMar>
              <w:top w:w="60" w:type="dxa"/>
              <w:left w:w="60" w:type="dxa"/>
              <w:bottom w:w="60" w:type="dxa"/>
              <w:right w:w="60" w:type="dxa"/>
            </w:tcMar>
            <w:vAlign w:val="center"/>
          </w:tcPr>
          <w:p w14:paraId="4EB82672">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kern w:val="0"/>
                <w:sz w:val="28"/>
                <w:szCs w:val="28"/>
                <w:highlight w:val="none"/>
                <w:lang w:val="en-US" w:eastAsia="zh-CN" w:bidi="ar"/>
              </w:rPr>
              <w:t>高新技术企业重特大生产安全事故处罚信息核验</w:t>
            </w:r>
          </w:p>
        </w:tc>
        <w:tc>
          <w:tcPr>
            <w:tcW w:w="2512" w:type="dxa"/>
            <w:noWrap w:val="0"/>
            <w:tcMar>
              <w:top w:w="60" w:type="dxa"/>
              <w:left w:w="60" w:type="dxa"/>
              <w:bottom w:w="60" w:type="dxa"/>
              <w:right w:w="60" w:type="dxa"/>
            </w:tcMar>
            <w:vAlign w:val="center"/>
          </w:tcPr>
          <w:p w14:paraId="1B405B92">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kern w:val="0"/>
                <w:sz w:val="28"/>
                <w:szCs w:val="28"/>
                <w:highlight w:val="none"/>
                <w:lang w:val="en-US" w:eastAsia="zh-CN" w:bidi="ar"/>
              </w:rPr>
              <w:t>自治区应急管理厅</w:t>
            </w:r>
          </w:p>
        </w:tc>
      </w:tr>
      <w:tr w14:paraId="0B449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7" w:hRule="atLeast"/>
          <w:jc w:val="center"/>
        </w:trPr>
        <w:tc>
          <w:tcPr>
            <w:tcW w:w="811" w:type="dxa"/>
            <w:noWrap w:val="0"/>
            <w:tcMar>
              <w:top w:w="60" w:type="dxa"/>
              <w:left w:w="60" w:type="dxa"/>
              <w:bottom w:w="60" w:type="dxa"/>
              <w:right w:w="60" w:type="dxa"/>
            </w:tcMar>
            <w:vAlign w:val="center"/>
          </w:tcPr>
          <w:p w14:paraId="28194E81">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sz w:val="28"/>
                <w:szCs w:val="28"/>
                <w:highlight w:val="none"/>
                <w:lang w:val="en-US"/>
              </w:rPr>
            </w:pPr>
            <w:r>
              <w:rPr>
                <w:rFonts w:hint="eastAsia" w:ascii="Times New Roman" w:hAnsi="Times New Roman" w:eastAsia="仿宋_GB2312" w:cs="Times New Roman"/>
                <w:kern w:val="0"/>
                <w:sz w:val="28"/>
                <w:szCs w:val="28"/>
                <w:highlight w:val="none"/>
                <w:lang w:val="en-US" w:eastAsia="zh-CN" w:bidi="ar"/>
              </w:rPr>
              <w:t>9</w:t>
            </w:r>
          </w:p>
        </w:tc>
        <w:tc>
          <w:tcPr>
            <w:tcW w:w="1666" w:type="dxa"/>
            <w:vMerge w:val="continue"/>
            <w:noWrap w:val="0"/>
            <w:tcMar>
              <w:top w:w="60" w:type="dxa"/>
              <w:left w:w="60" w:type="dxa"/>
              <w:bottom w:w="60" w:type="dxa"/>
              <w:right w:w="60" w:type="dxa"/>
            </w:tcMar>
            <w:vAlign w:val="center"/>
          </w:tcPr>
          <w:p w14:paraId="2C5F53A1">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kern w:val="0"/>
                <w:sz w:val="28"/>
                <w:szCs w:val="28"/>
                <w:highlight w:val="none"/>
                <w:lang w:val="en-US" w:eastAsia="zh-CN" w:bidi="ar"/>
              </w:rPr>
            </w:pPr>
          </w:p>
        </w:tc>
        <w:tc>
          <w:tcPr>
            <w:tcW w:w="4813" w:type="dxa"/>
            <w:noWrap w:val="0"/>
            <w:tcMar>
              <w:top w:w="60" w:type="dxa"/>
              <w:left w:w="60" w:type="dxa"/>
              <w:bottom w:w="60" w:type="dxa"/>
              <w:right w:w="60" w:type="dxa"/>
            </w:tcMar>
            <w:vAlign w:val="center"/>
          </w:tcPr>
          <w:p w14:paraId="28DECE63">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kern w:val="0"/>
                <w:sz w:val="28"/>
                <w:szCs w:val="28"/>
                <w:highlight w:val="none"/>
                <w:lang w:val="en-US" w:eastAsia="zh-CN" w:bidi="ar"/>
              </w:rPr>
              <w:t>高新技术企业税务信息核验</w:t>
            </w:r>
          </w:p>
        </w:tc>
        <w:tc>
          <w:tcPr>
            <w:tcW w:w="2512" w:type="dxa"/>
            <w:noWrap w:val="0"/>
            <w:tcMar>
              <w:top w:w="60" w:type="dxa"/>
              <w:left w:w="60" w:type="dxa"/>
              <w:bottom w:w="60" w:type="dxa"/>
              <w:right w:w="60" w:type="dxa"/>
            </w:tcMar>
            <w:vAlign w:val="center"/>
          </w:tcPr>
          <w:p w14:paraId="44FCC95A">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default" w:ascii="Times New Roman" w:hAnsi="Times New Roman" w:eastAsia="仿宋_GB2312" w:cs="Times New Roman"/>
                <w:sz w:val="28"/>
                <w:szCs w:val="28"/>
                <w:highlight w:val="none"/>
                <w:lang w:val="en-US"/>
              </w:rPr>
            </w:pPr>
            <w:r>
              <w:rPr>
                <w:rFonts w:hint="default" w:ascii="Times New Roman" w:hAnsi="Times New Roman" w:eastAsia="仿宋_GB2312" w:cs="Times New Roman"/>
                <w:kern w:val="0"/>
                <w:sz w:val="28"/>
                <w:szCs w:val="28"/>
                <w:highlight w:val="none"/>
                <w:lang w:val="en-US" w:eastAsia="zh-CN" w:bidi="ar"/>
              </w:rPr>
              <w:t>广西税务局</w:t>
            </w:r>
          </w:p>
        </w:tc>
      </w:tr>
      <w:tr w14:paraId="029FC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7" w:hRule="atLeast"/>
          <w:jc w:val="center"/>
        </w:trPr>
        <w:tc>
          <w:tcPr>
            <w:tcW w:w="811" w:type="dxa"/>
            <w:noWrap w:val="0"/>
            <w:tcMar>
              <w:top w:w="60" w:type="dxa"/>
              <w:left w:w="60" w:type="dxa"/>
              <w:bottom w:w="60" w:type="dxa"/>
              <w:right w:w="60" w:type="dxa"/>
            </w:tcMar>
            <w:vAlign w:val="center"/>
          </w:tcPr>
          <w:p w14:paraId="258AE12D">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sz w:val="28"/>
                <w:szCs w:val="28"/>
                <w:highlight w:val="none"/>
                <w:lang w:val="en-US"/>
              </w:rPr>
            </w:pPr>
            <w:r>
              <w:rPr>
                <w:rFonts w:hint="default" w:ascii="Times New Roman" w:hAnsi="Times New Roman" w:eastAsia="仿宋_GB2312" w:cs="Times New Roman"/>
                <w:kern w:val="0"/>
                <w:sz w:val="28"/>
                <w:szCs w:val="28"/>
                <w:highlight w:val="none"/>
                <w:lang w:val="en-US" w:eastAsia="zh-CN" w:bidi="ar"/>
              </w:rPr>
              <w:t>1</w:t>
            </w:r>
            <w:r>
              <w:rPr>
                <w:rFonts w:hint="eastAsia" w:ascii="Times New Roman" w:hAnsi="Times New Roman" w:eastAsia="仿宋_GB2312" w:cs="Times New Roman"/>
                <w:kern w:val="0"/>
                <w:sz w:val="28"/>
                <w:szCs w:val="28"/>
                <w:highlight w:val="none"/>
                <w:lang w:val="en-US" w:eastAsia="zh-CN" w:bidi="ar"/>
              </w:rPr>
              <w:t>0</w:t>
            </w:r>
          </w:p>
        </w:tc>
        <w:tc>
          <w:tcPr>
            <w:tcW w:w="1666" w:type="dxa"/>
            <w:vMerge w:val="continue"/>
            <w:noWrap w:val="0"/>
            <w:tcMar>
              <w:top w:w="60" w:type="dxa"/>
              <w:left w:w="60" w:type="dxa"/>
              <w:bottom w:w="60" w:type="dxa"/>
              <w:right w:w="60" w:type="dxa"/>
            </w:tcMar>
            <w:vAlign w:val="center"/>
          </w:tcPr>
          <w:p w14:paraId="2D4026F3">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kern w:val="0"/>
                <w:sz w:val="28"/>
                <w:szCs w:val="28"/>
                <w:highlight w:val="none"/>
                <w:lang w:val="en-US" w:eastAsia="zh-CN" w:bidi="ar"/>
              </w:rPr>
            </w:pPr>
          </w:p>
        </w:tc>
        <w:tc>
          <w:tcPr>
            <w:tcW w:w="4813" w:type="dxa"/>
            <w:noWrap w:val="0"/>
            <w:tcMar>
              <w:top w:w="60" w:type="dxa"/>
              <w:left w:w="60" w:type="dxa"/>
              <w:bottom w:w="60" w:type="dxa"/>
              <w:right w:w="60" w:type="dxa"/>
            </w:tcMar>
            <w:vAlign w:val="center"/>
          </w:tcPr>
          <w:p w14:paraId="52D52A40">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kern w:val="0"/>
                <w:sz w:val="28"/>
                <w:szCs w:val="28"/>
                <w:highlight w:val="none"/>
                <w:lang w:val="en-US" w:eastAsia="zh-CN" w:bidi="ar"/>
              </w:rPr>
              <w:t>高新技术企业市场监管行政处罚信息查询</w:t>
            </w:r>
          </w:p>
        </w:tc>
        <w:tc>
          <w:tcPr>
            <w:tcW w:w="2512" w:type="dxa"/>
            <w:vMerge w:val="restart"/>
            <w:noWrap w:val="0"/>
            <w:tcMar>
              <w:top w:w="60" w:type="dxa"/>
              <w:left w:w="60" w:type="dxa"/>
              <w:bottom w:w="60" w:type="dxa"/>
              <w:right w:w="60" w:type="dxa"/>
            </w:tcMar>
            <w:vAlign w:val="center"/>
          </w:tcPr>
          <w:p w14:paraId="7E57A6D0">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kern w:val="0"/>
                <w:sz w:val="28"/>
                <w:szCs w:val="28"/>
                <w:highlight w:val="none"/>
                <w:lang w:val="en-US" w:eastAsia="zh-CN" w:bidi="ar"/>
              </w:rPr>
              <w:t>自治区市场监管局</w:t>
            </w:r>
          </w:p>
        </w:tc>
      </w:tr>
      <w:tr w14:paraId="66AA9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7" w:hRule="atLeast"/>
          <w:jc w:val="center"/>
        </w:trPr>
        <w:tc>
          <w:tcPr>
            <w:tcW w:w="811" w:type="dxa"/>
            <w:noWrap w:val="0"/>
            <w:tcMar>
              <w:top w:w="60" w:type="dxa"/>
              <w:left w:w="60" w:type="dxa"/>
              <w:bottom w:w="60" w:type="dxa"/>
              <w:right w:w="60" w:type="dxa"/>
            </w:tcMar>
            <w:vAlign w:val="center"/>
          </w:tcPr>
          <w:p w14:paraId="438BA977">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sz w:val="28"/>
                <w:szCs w:val="28"/>
                <w:highlight w:val="none"/>
                <w:lang w:val="en-US"/>
              </w:rPr>
            </w:pPr>
            <w:r>
              <w:rPr>
                <w:rFonts w:hint="default" w:ascii="Times New Roman" w:hAnsi="Times New Roman" w:eastAsia="仿宋_GB2312" w:cs="Times New Roman"/>
                <w:kern w:val="0"/>
                <w:sz w:val="28"/>
                <w:szCs w:val="28"/>
                <w:highlight w:val="none"/>
                <w:lang w:val="en-US" w:eastAsia="zh-CN" w:bidi="ar"/>
              </w:rPr>
              <w:t>1</w:t>
            </w:r>
            <w:r>
              <w:rPr>
                <w:rFonts w:hint="eastAsia" w:ascii="Times New Roman" w:hAnsi="Times New Roman" w:eastAsia="仿宋_GB2312" w:cs="Times New Roman"/>
                <w:kern w:val="0"/>
                <w:sz w:val="28"/>
                <w:szCs w:val="28"/>
                <w:highlight w:val="none"/>
                <w:lang w:val="en-US" w:eastAsia="zh-CN" w:bidi="ar"/>
              </w:rPr>
              <w:t>1</w:t>
            </w:r>
          </w:p>
        </w:tc>
        <w:tc>
          <w:tcPr>
            <w:tcW w:w="1666" w:type="dxa"/>
            <w:vMerge w:val="continue"/>
            <w:noWrap w:val="0"/>
            <w:tcMar>
              <w:top w:w="60" w:type="dxa"/>
              <w:left w:w="60" w:type="dxa"/>
              <w:bottom w:w="60" w:type="dxa"/>
              <w:right w:w="60" w:type="dxa"/>
            </w:tcMar>
            <w:vAlign w:val="center"/>
          </w:tcPr>
          <w:p w14:paraId="37EA8130">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kern w:val="0"/>
                <w:sz w:val="28"/>
                <w:szCs w:val="28"/>
                <w:highlight w:val="none"/>
                <w:lang w:val="en-US" w:eastAsia="zh-CN" w:bidi="ar"/>
              </w:rPr>
            </w:pPr>
          </w:p>
        </w:tc>
        <w:tc>
          <w:tcPr>
            <w:tcW w:w="4813" w:type="dxa"/>
            <w:noWrap w:val="0"/>
            <w:tcMar>
              <w:top w:w="60" w:type="dxa"/>
              <w:left w:w="60" w:type="dxa"/>
              <w:bottom w:w="60" w:type="dxa"/>
              <w:right w:w="60" w:type="dxa"/>
            </w:tcMar>
            <w:vAlign w:val="center"/>
          </w:tcPr>
          <w:p w14:paraId="66F9ECA0">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kern w:val="0"/>
                <w:sz w:val="28"/>
                <w:szCs w:val="28"/>
                <w:highlight w:val="none"/>
                <w:lang w:val="en-US" w:eastAsia="zh-CN" w:bidi="ar"/>
              </w:rPr>
              <w:t>高新技术企业营业执照信息核验</w:t>
            </w:r>
          </w:p>
        </w:tc>
        <w:tc>
          <w:tcPr>
            <w:tcW w:w="2512" w:type="dxa"/>
            <w:vMerge w:val="continue"/>
            <w:noWrap w:val="0"/>
            <w:tcMar>
              <w:top w:w="60" w:type="dxa"/>
              <w:left w:w="60" w:type="dxa"/>
              <w:bottom w:w="60" w:type="dxa"/>
              <w:right w:w="60" w:type="dxa"/>
            </w:tcMar>
            <w:vAlign w:val="center"/>
          </w:tcPr>
          <w:p w14:paraId="79EA9F75">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default" w:ascii="Times New Roman" w:hAnsi="Times New Roman" w:eastAsia="仿宋_GB2312" w:cs="Times New Roman"/>
                <w:sz w:val="28"/>
                <w:szCs w:val="28"/>
                <w:highlight w:val="none"/>
              </w:rPr>
            </w:pPr>
          </w:p>
        </w:tc>
      </w:tr>
      <w:tr w14:paraId="4676B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7" w:hRule="atLeast"/>
          <w:jc w:val="center"/>
        </w:trPr>
        <w:tc>
          <w:tcPr>
            <w:tcW w:w="811" w:type="dxa"/>
            <w:noWrap w:val="0"/>
            <w:tcMar>
              <w:top w:w="60" w:type="dxa"/>
              <w:left w:w="60" w:type="dxa"/>
              <w:bottom w:w="60" w:type="dxa"/>
              <w:right w:w="60" w:type="dxa"/>
            </w:tcMar>
            <w:vAlign w:val="center"/>
          </w:tcPr>
          <w:p w14:paraId="365196C4">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kern w:val="0"/>
                <w:sz w:val="28"/>
                <w:szCs w:val="28"/>
                <w:highlight w:val="none"/>
                <w:lang w:val="en-US" w:eastAsia="zh-CN" w:bidi="ar"/>
              </w:rPr>
              <w:t>1</w:t>
            </w:r>
            <w:r>
              <w:rPr>
                <w:rFonts w:hint="eastAsia" w:ascii="Times New Roman" w:hAnsi="Times New Roman" w:eastAsia="仿宋_GB2312" w:cs="Times New Roman"/>
                <w:kern w:val="0"/>
                <w:sz w:val="28"/>
                <w:szCs w:val="28"/>
                <w:highlight w:val="none"/>
                <w:lang w:val="en-US" w:eastAsia="zh-CN" w:bidi="ar"/>
              </w:rPr>
              <w:t>2</w:t>
            </w:r>
          </w:p>
        </w:tc>
        <w:tc>
          <w:tcPr>
            <w:tcW w:w="1666" w:type="dxa"/>
            <w:vMerge w:val="continue"/>
            <w:noWrap w:val="0"/>
            <w:tcMar>
              <w:top w:w="60" w:type="dxa"/>
              <w:left w:w="60" w:type="dxa"/>
              <w:bottom w:w="60" w:type="dxa"/>
              <w:right w:w="60" w:type="dxa"/>
            </w:tcMar>
            <w:vAlign w:val="center"/>
          </w:tcPr>
          <w:p w14:paraId="5677BCDC">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kern w:val="0"/>
                <w:sz w:val="28"/>
                <w:szCs w:val="28"/>
                <w:highlight w:val="none"/>
                <w:lang w:val="en-US" w:eastAsia="zh-CN" w:bidi="ar"/>
              </w:rPr>
            </w:pPr>
          </w:p>
        </w:tc>
        <w:tc>
          <w:tcPr>
            <w:tcW w:w="4813" w:type="dxa"/>
            <w:noWrap w:val="0"/>
            <w:tcMar>
              <w:top w:w="60" w:type="dxa"/>
              <w:left w:w="60" w:type="dxa"/>
              <w:bottom w:w="60" w:type="dxa"/>
              <w:right w:w="60" w:type="dxa"/>
            </w:tcMar>
            <w:vAlign w:val="center"/>
          </w:tcPr>
          <w:p w14:paraId="6D2F733A">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kern w:val="0"/>
                <w:sz w:val="28"/>
                <w:szCs w:val="28"/>
                <w:highlight w:val="none"/>
                <w:lang w:val="en-US" w:eastAsia="zh-CN" w:bidi="ar"/>
              </w:rPr>
              <w:t>高新技术企业质量管理体系认证信息</w:t>
            </w:r>
            <w:r>
              <w:rPr>
                <w:rFonts w:hint="eastAsia" w:ascii="Times New Roman" w:hAnsi="Times New Roman" w:eastAsia="仿宋_GB2312" w:cs="Times New Roman"/>
                <w:kern w:val="0"/>
                <w:sz w:val="28"/>
                <w:szCs w:val="28"/>
                <w:highlight w:val="none"/>
                <w:lang w:val="en-US" w:eastAsia="zh-CN" w:bidi="ar"/>
              </w:rPr>
              <w:t>查询</w:t>
            </w:r>
          </w:p>
        </w:tc>
        <w:tc>
          <w:tcPr>
            <w:tcW w:w="2512" w:type="dxa"/>
            <w:vMerge w:val="continue"/>
            <w:noWrap w:val="0"/>
            <w:tcMar>
              <w:top w:w="60" w:type="dxa"/>
              <w:left w:w="60" w:type="dxa"/>
              <w:bottom w:w="60" w:type="dxa"/>
              <w:right w:w="60" w:type="dxa"/>
            </w:tcMar>
            <w:vAlign w:val="center"/>
          </w:tcPr>
          <w:p w14:paraId="22047827">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default" w:ascii="Times New Roman" w:hAnsi="Times New Roman" w:eastAsia="仿宋_GB2312" w:cs="Times New Roman"/>
                <w:sz w:val="28"/>
                <w:szCs w:val="28"/>
                <w:highlight w:val="none"/>
              </w:rPr>
            </w:pPr>
          </w:p>
        </w:tc>
      </w:tr>
      <w:tr w14:paraId="5AA12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7" w:hRule="atLeast"/>
          <w:jc w:val="center"/>
        </w:trPr>
        <w:tc>
          <w:tcPr>
            <w:tcW w:w="811" w:type="dxa"/>
            <w:noWrap w:val="0"/>
            <w:tcMar>
              <w:top w:w="60" w:type="dxa"/>
              <w:left w:w="60" w:type="dxa"/>
              <w:bottom w:w="60" w:type="dxa"/>
              <w:right w:w="60" w:type="dxa"/>
            </w:tcMar>
            <w:vAlign w:val="center"/>
          </w:tcPr>
          <w:p w14:paraId="498DB821">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kern w:val="0"/>
                <w:sz w:val="28"/>
                <w:szCs w:val="28"/>
                <w:highlight w:val="none"/>
                <w:lang w:val="en-US" w:eastAsia="zh-CN" w:bidi="ar"/>
              </w:rPr>
            </w:pPr>
            <w:r>
              <w:rPr>
                <w:rFonts w:hint="default" w:ascii="Times New Roman" w:hAnsi="Times New Roman" w:eastAsia="仿宋_GB2312" w:cs="Times New Roman"/>
                <w:kern w:val="0"/>
                <w:sz w:val="28"/>
                <w:szCs w:val="28"/>
                <w:highlight w:val="none"/>
                <w:lang w:val="en-US" w:eastAsia="zh-CN" w:bidi="ar"/>
              </w:rPr>
              <w:t>1</w:t>
            </w:r>
            <w:r>
              <w:rPr>
                <w:rFonts w:hint="eastAsia" w:ascii="Times New Roman" w:hAnsi="Times New Roman" w:eastAsia="仿宋_GB2312" w:cs="Times New Roman"/>
                <w:kern w:val="0"/>
                <w:sz w:val="28"/>
                <w:szCs w:val="28"/>
                <w:highlight w:val="none"/>
                <w:lang w:val="en-US" w:eastAsia="zh-CN" w:bidi="ar"/>
              </w:rPr>
              <w:t>3</w:t>
            </w:r>
          </w:p>
        </w:tc>
        <w:tc>
          <w:tcPr>
            <w:tcW w:w="1666" w:type="dxa"/>
            <w:noWrap w:val="0"/>
            <w:tcMar>
              <w:top w:w="60" w:type="dxa"/>
              <w:left w:w="60" w:type="dxa"/>
              <w:bottom w:w="60" w:type="dxa"/>
              <w:right w:w="60" w:type="dxa"/>
            </w:tcMar>
            <w:vAlign w:val="center"/>
          </w:tcPr>
          <w:p w14:paraId="4D90C452">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仿宋_GB2312" w:cs="Times New Roman"/>
                <w:kern w:val="0"/>
                <w:sz w:val="28"/>
                <w:szCs w:val="28"/>
                <w:highlight w:val="none"/>
                <w:lang w:val="en-US" w:eastAsia="zh-CN" w:bidi="ar"/>
              </w:rPr>
            </w:pPr>
            <w:r>
              <w:rPr>
                <w:rFonts w:hint="default" w:ascii="Times New Roman" w:hAnsi="Times New Roman" w:eastAsia="仿宋_GB2312" w:cs="Times New Roman"/>
                <w:kern w:val="0"/>
                <w:sz w:val="28"/>
                <w:szCs w:val="28"/>
                <w:highlight w:val="none"/>
                <w:lang w:val="en-US" w:eastAsia="zh-CN" w:bidi="ar"/>
              </w:rPr>
              <w:t>科技型企业政策扶持</w:t>
            </w:r>
          </w:p>
        </w:tc>
        <w:tc>
          <w:tcPr>
            <w:tcW w:w="4813" w:type="dxa"/>
            <w:noWrap w:val="0"/>
            <w:tcMar>
              <w:top w:w="60" w:type="dxa"/>
              <w:left w:w="60" w:type="dxa"/>
              <w:bottom w:w="60" w:type="dxa"/>
              <w:right w:w="60" w:type="dxa"/>
            </w:tcMar>
            <w:vAlign w:val="center"/>
          </w:tcPr>
          <w:p w14:paraId="13F3BD3B">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default" w:ascii="Times New Roman" w:hAnsi="Times New Roman" w:eastAsia="仿宋_GB2312" w:cs="Times New Roman"/>
                <w:kern w:val="0"/>
                <w:sz w:val="28"/>
                <w:szCs w:val="28"/>
                <w:highlight w:val="none"/>
                <w:lang w:val="en-US" w:eastAsia="zh-CN" w:bidi="ar"/>
              </w:rPr>
            </w:pPr>
            <w:r>
              <w:rPr>
                <w:rFonts w:hint="default" w:ascii="Times New Roman" w:hAnsi="Times New Roman" w:eastAsia="仿宋_GB2312" w:cs="Times New Roman"/>
                <w:kern w:val="0"/>
                <w:sz w:val="28"/>
                <w:szCs w:val="28"/>
                <w:highlight w:val="none"/>
                <w:lang w:val="en-US" w:eastAsia="zh-CN" w:bidi="ar"/>
              </w:rPr>
              <w:t>科技型企业惠企政策推送</w:t>
            </w:r>
          </w:p>
        </w:tc>
        <w:tc>
          <w:tcPr>
            <w:tcW w:w="2512" w:type="dxa"/>
            <w:noWrap w:val="0"/>
            <w:tcMar>
              <w:top w:w="60" w:type="dxa"/>
              <w:left w:w="60" w:type="dxa"/>
              <w:bottom w:w="60" w:type="dxa"/>
              <w:right w:w="60" w:type="dxa"/>
            </w:tcMar>
            <w:vAlign w:val="center"/>
          </w:tcPr>
          <w:p w14:paraId="6FD88EB2">
            <w:pPr>
              <w:keepNext w:val="0"/>
              <w:keepLines w:val="0"/>
              <w:pageBreakBefore w:val="0"/>
              <w:widowControl w:val="0"/>
              <w:suppressLineNumbers w:val="0"/>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default" w:ascii="Times New Roman" w:hAnsi="Times New Roman" w:eastAsia="仿宋_GB2312" w:cs="Times New Roman"/>
                <w:sz w:val="28"/>
                <w:szCs w:val="28"/>
                <w:highlight w:val="none"/>
                <w:lang w:val="en-US" w:eastAsia="zh-CN"/>
              </w:rPr>
            </w:pPr>
            <w:r>
              <w:rPr>
                <w:rFonts w:hint="default" w:ascii="Times New Roman" w:hAnsi="Times New Roman" w:eastAsia="仿宋_GB2312" w:cs="Times New Roman"/>
                <w:sz w:val="28"/>
                <w:szCs w:val="28"/>
                <w:highlight w:val="none"/>
                <w:lang w:val="en-US" w:eastAsia="zh-CN"/>
              </w:rPr>
              <w:t>自治区科技厅、工业和信息化厅、财政厅，广西税务局等</w:t>
            </w:r>
          </w:p>
        </w:tc>
      </w:tr>
    </w:tbl>
    <w:p w14:paraId="0D13DE32">
      <w:pPr>
        <w:pStyle w:val="2"/>
      </w:pPr>
    </w:p>
    <w:p w14:paraId="6AA12522">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三、办理主体</w:t>
      </w:r>
    </w:p>
    <w:p w14:paraId="4F7FF226">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（一）申请主体</w:t>
      </w:r>
    </w:p>
    <w:p w14:paraId="309F157D">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color w:val="000000"/>
          <w:kern w:val="0"/>
          <w:sz w:val="32"/>
          <w:szCs w:val="32"/>
          <w:highlight w:val="none"/>
          <w:lang w:bidi="ar"/>
        </w:rPr>
      </w:pPr>
      <w:r>
        <w:rPr>
          <w:rFonts w:hint="eastAsia" w:ascii="仿宋_GB2312" w:hAnsi="仿宋_GB2312" w:eastAsia="仿宋_GB2312" w:cs="仿宋_GB2312"/>
          <w:color w:val="000000"/>
          <w:kern w:val="0"/>
          <w:sz w:val="32"/>
          <w:szCs w:val="32"/>
          <w:highlight w:val="none"/>
          <w:lang w:bidi="ar"/>
        </w:rPr>
        <w:t>企业法人，事业法人，其他组织。</w:t>
      </w:r>
    </w:p>
    <w:p w14:paraId="0F6D78A5">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（二）办理部门</w:t>
      </w:r>
    </w:p>
    <w:p w14:paraId="1EB09D3A">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牵头部门：自治区科技厅、工业和信息化厅。</w:t>
      </w:r>
    </w:p>
    <w:p w14:paraId="21451567">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协同部门：自治区财政厅、应急管理厅、市场监管局，南宁海关，广西税务局等相关部门。</w:t>
      </w:r>
    </w:p>
    <w:p w14:paraId="6649DFB6">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属地单位：各设区市、县（市、区）对应主管部门。</w:t>
      </w:r>
    </w:p>
    <w:p w14:paraId="76BE47F5">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四、实施依据</w:t>
      </w:r>
    </w:p>
    <w:p w14:paraId="3CE084EB">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（一）《国务院办公厅关于印发</w:t>
      </w:r>
      <w:r>
        <w:rPr>
          <w:rFonts w:hint="eastAsia" w:ascii="Times New Roman" w:hAnsi="Times New Roman" w:eastAsia="仿宋_GB2312"/>
          <w:sz w:val="32"/>
          <w:szCs w:val="32"/>
          <w:highlight w:val="none"/>
        </w:rPr>
        <w:t>〈</w:t>
      </w:r>
      <w:r>
        <w:rPr>
          <w:rFonts w:hint="eastAsia" w:ascii="仿宋_GB2312" w:hAnsi="仿宋_GB2312" w:eastAsia="仿宋_GB2312" w:cs="仿宋_GB2312"/>
          <w:sz w:val="32"/>
          <w:szCs w:val="32"/>
          <w:highlight w:val="none"/>
        </w:rPr>
        <w:t>“高效办成一件事”</w:t>
      </w:r>
      <w:r>
        <w:rPr>
          <w:rFonts w:ascii="Times New Roman" w:hAnsi="Times New Roman" w:eastAsia="仿宋_GB2312"/>
          <w:sz w:val="32"/>
          <w:szCs w:val="32"/>
          <w:highlight w:val="none"/>
        </w:rPr>
        <w:t>2026年度第一批重点事项清单</w:t>
      </w:r>
      <w:r>
        <w:rPr>
          <w:rFonts w:hint="eastAsia" w:ascii="Times New Roman" w:hAnsi="Times New Roman" w:eastAsia="仿宋_GB2312"/>
          <w:sz w:val="32"/>
          <w:szCs w:val="32"/>
          <w:highlight w:val="none"/>
        </w:rPr>
        <w:t>〉</w:t>
      </w:r>
      <w:r>
        <w:rPr>
          <w:rFonts w:ascii="Times New Roman" w:hAnsi="Times New Roman" w:eastAsia="仿宋_GB2312"/>
          <w:sz w:val="32"/>
          <w:szCs w:val="32"/>
          <w:highlight w:val="none"/>
        </w:rPr>
        <w:t>的通知》（国办函〔2026〕2号）。</w:t>
      </w:r>
    </w:p>
    <w:p w14:paraId="07A09073">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（二）</w:t>
      </w:r>
      <w:r>
        <w:rPr>
          <w:rFonts w:hint="eastAsia" w:ascii="Times New Roman" w:hAnsi="Times New Roman" w:eastAsia="仿宋_GB2312"/>
          <w:sz w:val="32"/>
          <w:szCs w:val="32"/>
          <w:highlight w:val="none"/>
        </w:rPr>
        <w:t>《科技部 财政部 国家税务总局关于修订印发〈高新技术企业认定管理办法〉的通知》（国科发火〔2016〕32号）。</w:t>
      </w:r>
    </w:p>
    <w:p w14:paraId="7022AE2D">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（三）《科技部 财政部 国家税务总局关于修订印发〈高新技术企业认定管理工作指引〉的通知》（国科发火〔2016〕195号）。</w:t>
      </w:r>
    </w:p>
    <w:p w14:paraId="14DE455E">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（四）《科技部 财政部 国家税务总局关于印发〈科技型中小企业评价办法〉的通知》（国科发政〔2017〕115号）。</w:t>
      </w:r>
    </w:p>
    <w:p w14:paraId="2128921B">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（五）《自治区科技厅关于印发〈广西壮族自治区瞪羚企业认定管理办法〉的通知》（桂科规字〔2025〕9号）。</w:t>
      </w:r>
    </w:p>
    <w:p w14:paraId="1F43EF9E">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五、办理条件</w:t>
      </w:r>
    </w:p>
    <w:p w14:paraId="30686341">
      <w:pPr>
        <w:keepNext w:val="0"/>
        <w:keepLines w:val="0"/>
        <w:pageBreakBefore w:val="0"/>
        <w:widowControl w:val="0"/>
        <w:kinsoku/>
        <w:overflowPunct/>
        <w:topLinePunct w:val="0"/>
        <w:autoSpaceDE/>
        <w:autoSpaceDN/>
        <w:bidi w:val="0"/>
        <w:adjustRightInd/>
        <w:snapToGrid/>
        <w:spacing w:line="580" w:lineRule="exact"/>
        <w:ind w:firstLine="643" w:firstLineChars="200"/>
        <w:jc w:val="both"/>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（一）高新技术企业认定</w:t>
      </w:r>
    </w:p>
    <w:p w14:paraId="3A91AEF3">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1</w:t>
      </w:r>
      <w:r>
        <w:rPr>
          <w:rFonts w:hint="eastAsia" w:ascii="Times New Roman" w:hAnsi="Times New Roman" w:eastAsia="仿宋_GB2312"/>
          <w:sz w:val="32"/>
          <w:szCs w:val="32"/>
          <w:highlight w:val="none"/>
        </w:rPr>
        <w:t xml:space="preserve">. </w:t>
      </w:r>
      <w:r>
        <w:rPr>
          <w:rFonts w:ascii="Times New Roman" w:hAnsi="Times New Roman" w:eastAsia="仿宋_GB2312"/>
          <w:sz w:val="32"/>
          <w:szCs w:val="32"/>
          <w:highlight w:val="none"/>
        </w:rPr>
        <w:t>企业申请认定时须注册成立一年以上；</w:t>
      </w:r>
    </w:p>
    <w:p w14:paraId="17098313">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2</w:t>
      </w:r>
      <w:r>
        <w:rPr>
          <w:rFonts w:hint="eastAsia" w:ascii="Times New Roman" w:hAnsi="Times New Roman" w:eastAsia="仿宋_GB2312"/>
          <w:sz w:val="32"/>
          <w:szCs w:val="32"/>
          <w:highlight w:val="none"/>
        </w:rPr>
        <w:t xml:space="preserve">. </w:t>
      </w:r>
      <w:r>
        <w:rPr>
          <w:rFonts w:ascii="Times New Roman" w:hAnsi="Times New Roman" w:eastAsia="仿宋_GB2312"/>
          <w:sz w:val="32"/>
          <w:szCs w:val="32"/>
          <w:highlight w:val="none"/>
        </w:rPr>
        <w:t>企业通过自主研发、受让、受赠、并购等方式，获得对其主要产品（服务）在技术上发挥核心支持作用的知识产权的所有权；</w:t>
      </w:r>
    </w:p>
    <w:p w14:paraId="21245993">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3</w:t>
      </w:r>
      <w:r>
        <w:rPr>
          <w:rFonts w:hint="eastAsia" w:ascii="Times New Roman" w:hAnsi="Times New Roman" w:eastAsia="仿宋_GB2312"/>
          <w:sz w:val="32"/>
          <w:szCs w:val="32"/>
          <w:highlight w:val="none"/>
        </w:rPr>
        <w:t xml:space="preserve">. </w:t>
      </w:r>
      <w:r>
        <w:rPr>
          <w:rFonts w:ascii="Times New Roman" w:hAnsi="Times New Roman" w:eastAsia="仿宋_GB2312"/>
          <w:sz w:val="32"/>
          <w:szCs w:val="32"/>
          <w:highlight w:val="none"/>
        </w:rPr>
        <w:t>对企业主要产品（服务）发挥核心支持作用的技术属于《国家重点支持的高新技术领域》规定的范围；</w:t>
      </w:r>
    </w:p>
    <w:p w14:paraId="5F3F20B7">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4</w:t>
      </w:r>
      <w:r>
        <w:rPr>
          <w:rFonts w:hint="eastAsia" w:ascii="Times New Roman" w:hAnsi="Times New Roman" w:eastAsia="仿宋_GB2312"/>
          <w:sz w:val="32"/>
          <w:szCs w:val="32"/>
          <w:highlight w:val="none"/>
        </w:rPr>
        <w:t xml:space="preserve">. </w:t>
      </w:r>
      <w:r>
        <w:rPr>
          <w:rFonts w:ascii="Times New Roman" w:hAnsi="Times New Roman" w:eastAsia="仿宋_GB2312"/>
          <w:sz w:val="32"/>
          <w:szCs w:val="32"/>
          <w:highlight w:val="none"/>
        </w:rPr>
        <w:t>企业从事研发和相关技术创新活动的科技人员占企业当年职工总数的比例不低于10%；</w:t>
      </w:r>
    </w:p>
    <w:p w14:paraId="76F5DFC1">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5</w:t>
      </w:r>
      <w:r>
        <w:rPr>
          <w:rFonts w:hint="eastAsia" w:ascii="Times New Roman" w:hAnsi="Times New Roman" w:eastAsia="仿宋_GB2312"/>
          <w:sz w:val="32"/>
          <w:szCs w:val="32"/>
          <w:highlight w:val="none"/>
        </w:rPr>
        <w:t xml:space="preserve">. </w:t>
      </w:r>
      <w:r>
        <w:rPr>
          <w:rFonts w:ascii="Times New Roman" w:hAnsi="Times New Roman" w:eastAsia="仿宋_GB2312"/>
          <w:sz w:val="32"/>
          <w:szCs w:val="32"/>
          <w:highlight w:val="none"/>
        </w:rPr>
        <w:t>企业近三个会计年度（实际经营期不满三年的按实际经营时间计算，下同）的研究开发费用总额占同期销售收入总额的比例符合如下要求：</w:t>
      </w:r>
    </w:p>
    <w:p w14:paraId="124201A8">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（1）最近一年销售收入小于5,000万元（含）的企业，比例不低于5%；</w:t>
      </w:r>
    </w:p>
    <w:p w14:paraId="6F22DBEC">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（2）最近一年销售收入在5,000万元至2亿元（含）的企业，比例不低于4%；</w:t>
      </w:r>
    </w:p>
    <w:p w14:paraId="02837F3A">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（3）最近一年销售收入在2亿元以上的企业，比例不低于3%。</w:t>
      </w:r>
    </w:p>
    <w:p w14:paraId="0EA5C8D1">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其中，企业在中国境内发生的研究开发费用总额占全部研究开发费用总额的比例不低于60%；</w:t>
      </w:r>
    </w:p>
    <w:p w14:paraId="52A5369D">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hint="default" w:ascii="Times New Roman" w:hAnsi="Times New Roman" w:eastAsia="仿宋_GB2312"/>
          <w:sz w:val="32"/>
          <w:szCs w:val="32"/>
          <w:highlight w:val="none"/>
          <w:lang w:val="en"/>
        </w:rPr>
        <w:t xml:space="preserve">6. </w:t>
      </w:r>
      <w:r>
        <w:rPr>
          <w:rFonts w:ascii="Times New Roman" w:hAnsi="Times New Roman" w:eastAsia="仿宋_GB2312"/>
          <w:sz w:val="32"/>
          <w:szCs w:val="32"/>
          <w:highlight w:val="none"/>
        </w:rPr>
        <w:t>近一年高新技术产品（服务）收入占企业同期总收入的比例不低于60%；</w:t>
      </w:r>
    </w:p>
    <w:p w14:paraId="0025B644">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hint="default" w:ascii="Times New Roman" w:hAnsi="Times New Roman" w:eastAsia="仿宋_GB2312"/>
          <w:sz w:val="32"/>
          <w:szCs w:val="32"/>
          <w:highlight w:val="none"/>
          <w:lang w:val="en"/>
        </w:rPr>
        <w:t xml:space="preserve">7. </w:t>
      </w:r>
      <w:r>
        <w:rPr>
          <w:rFonts w:ascii="Times New Roman" w:hAnsi="Times New Roman" w:eastAsia="仿宋_GB2312"/>
          <w:sz w:val="32"/>
          <w:szCs w:val="32"/>
          <w:highlight w:val="none"/>
        </w:rPr>
        <w:t>企业创新能力评价应达到相应要求；</w:t>
      </w:r>
    </w:p>
    <w:p w14:paraId="1C627733">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hint="default" w:ascii="Times New Roman" w:hAnsi="Times New Roman" w:eastAsia="仿宋_GB2312"/>
          <w:sz w:val="32"/>
          <w:szCs w:val="32"/>
          <w:highlight w:val="none"/>
          <w:lang w:val="en"/>
        </w:rPr>
        <w:t xml:space="preserve">8. </w:t>
      </w:r>
      <w:r>
        <w:rPr>
          <w:rFonts w:ascii="Times New Roman" w:hAnsi="Times New Roman" w:eastAsia="仿宋_GB2312"/>
          <w:sz w:val="32"/>
          <w:szCs w:val="32"/>
          <w:highlight w:val="none"/>
        </w:rPr>
        <w:t>企业申请认定前一年内未发生重大安全、重大质量事故或严重环境违法行为。</w:t>
      </w:r>
    </w:p>
    <w:p w14:paraId="79095D89">
      <w:pPr>
        <w:keepNext w:val="0"/>
        <w:keepLines w:val="0"/>
        <w:pageBreakBefore w:val="0"/>
        <w:widowControl w:val="0"/>
        <w:kinsoku/>
        <w:overflowPunct/>
        <w:topLinePunct w:val="0"/>
        <w:autoSpaceDE/>
        <w:autoSpaceDN/>
        <w:bidi w:val="0"/>
        <w:adjustRightInd/>
        <w:snapToGrid/>
        <w:spacing w:line="580" w:lineRule="exact"/>
        <w:ind w:firstLine="643" w:firstLineChars="200"/>
        <w:jc w:val="both"/>
        <w:textAlignment w:val="auto"/>
        <w:rPr>
          <w:rFonts w:ascii="Times New Roman" w:hAnsi="Times New Roman" w:eastAsia="楷体_GB2312"/>
          <w:b/>
          <w:bCs/>
          <w:sz w:val="32"/>
          <w:szCs w:val="32"/>
          <w:highlight w:val="none"/>
        </w:rPr>
      </w:pPr>
      <w:r>
        <w:rPr>
          <w:rFonts w:ascii="Times New Roman" w:hAnsi="Times New Roman" w:eastAsia="楷体_GB2312"/>
          <w:b/>
          <w:bCs/>
          <w:sz w:val="32"/>
          <w:szCs w:val="32"/>
          <w:highlight w:val="none"/>
        </w:rPr>
        <w:t>（二）科技型中小企业评价</w:t>
      </w:r>
    </w:p>
    <w:p w14:paraId="2C144893">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1</w:t>
      </w:r>
      <w:r>
        <w:rPr>
          <w:rFonts w:hint="eastAsia" w:ascii="Times New Roman" w:hAnsi="Times New Roman" w:eastAsia="仿宋_GB2312"/>
          <w:sz w:val="32"/>
          <w:szCs w:val="32"/>
          <w:highlight w:val="none"/>
        </w:rPr>
        <w:t xml:space="preserve">. </w:t>
      </w:r>
      <w:r>
        <w:rPr>
          <w:rFonts w:ascii="Times New Roman" w:hAnsi="Times New Roman" w:eastAsia="仿宋_GB2312"/>
          <w:sz w:val="32"/>
          <w:szCs w:val="32"/>
          <w:highlight w:val="none"/>
        </w:rPr>
        <w:t>在中国境内（不包括港、澳、台地区）注册的居民企业。</w:t>
      </w:r>
    </w:p>
    <w:p w14:paraId="2E6AD30E">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2</w:t>
      </w:r>
      <w:r>
        <w:rPr>
          <w:rFonts w:hint="eastAsia" w:ascii="Times New Roman" w:hAnsi="Times New Roman" w:eastAsia="仿宋_GB2312"/>
          <w:sz w:val="32"/>
          <w:szCs w:val="32"/>
          <w:highlight w:val="none"/>
        </w:rPr>
        <w:t xml:space="preserve">. </w:t>
      </w:r>
      <w:r>
        <w:rPr>
          <w:rFonts w:ascii="Times New Roman" w:hAnsi="Times New Roman" w:eastAsia="仿宋_GB2312"/>
          <w:sz w:val="32"/>
          <w:szCs w:val="32"/>
          <w:highlight w:val="none"/>
        </w:rPr>
        <w:t>职工总数不超过500人、年销售收入不超过2亿元、资产总额不超过2亿元。</w:t>
      </w:r>
    </w:p>
    <w:p w14:paraId="4A3F8719">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3</w:t>
      </w:r>
      <w:r>
        <w:rPr>
          <w:rFonts w:hint="eastAsia" w:ascii="Times New Roman" w:hAnsi="Times New Roman" w:eastAsia="仿宋_GB2312"/>
          <w:sz w:val="32"/>
          <w:szCs w:val="32"/>
          <w:highlight w:val="none"/>
        </w:rPr>
        <w:t xml:space="preserve">. </w:t>
      </w:r>
      <w:r>
        <w:rPr>
          <w:rFonts w:ascii="Times New Roman" w:hAnsi="Times New Roman" w:eastAsia="仿宋_GB2312"/>
          <w:sz w:val="32"/>
          <w:szCs w:val="32"/>
          <w:highlight w:val="none"/>
        </w:rPr>
        <w:t>企业提供的产品和服务不属于国家规定的禁止、限制和淘汰类。</w:t>
      </w:r>
    </w:p>
    <w:p w14:paraId="05223851">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4</w:t>
      </w:r>
      <w:r>
        <w:rPr>
          <w:rFonts w:hint="eastAsia" w:ascii="Times New Roman" w:hAnsi="Times New Roman" w:eastAsia="仿宋_GB2312"/>
          <w:sz w:val="32"/>
          <w:szCs w:val="32"/>
          <w:highlight w:val="none"/>
        </w:rPr>
        <w:t xml:space="preserve">. </w:t>
      </w:r>
      <w:r>
        <w:rPr>
          <w:rFonts w:ascii="Times New Roman" w:hAnsi="Times New Roman" w:eastAsia="仿宋_GB2312"/>
          <w:sz w:val="32"/>
          <w:szCs w:val="32"/>
          <w:highlight w:val="none"/>
        </w:rPr>
        <w:t>企业在填报上一年及当年内未发生重大安全、重大质量事故和严重环境违法、科研严重失信行为，且企业未列入经营异常名录和严重违法失信企业名单。</w:t>
      </w:r>
    </w:p>
    <w:p w14:paraId="5F4B4E39">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5</w:t>
      </w:r>
      <w:r>
        <w:rPr>
          <w:rFonts w:hint="eastAsia" w:ascii="Times New Roman" w:hAnsi="Times New Roman" w:eastAsia="仿宋_GB2312"/>
          <w:sz w:val="32"/>
          <w:szCs w:val="32"/>
          <w:highlight w:val="none"/>
        </w:rPr>
        <w:t xml:space="preserve">. </w:t>
      </w:r>
      <w:r>
        <w:rPr>
          <w:rFonts w:ascii="Times New Roman" w:hAnsi="Times New Roman" w:eastAsia="仿宋_GB2312"/>
          <w:sz w:val="32"/>
          <w:szCs w:val="32"/>
          <w:highlight w:val="none"/>
        </w:rPr>
        <w:t>企业根据科技型中小企业评价指标进行综合评价所得分值不低于60分，且科技人员指标得分不得为0分。</w:t>
      </w:r>
    </w:p>
    <w:p w14:paraId="6F707627">
      <w:pPr>
        <w:keepNext w:val="0"/>
        <w:keepLines w:val="0"/>
        <w:pageBreakBefore w:val="0"/>
        <w:widowControl w:val="0"/>
        <w:kinsoku/>
        <w:overflowPunct/>
        <w:topLinePunct w:val="0"/>
        <w:autoSpaceDE/>
        <w:autoSpaceDN/>
        <w:bidi w:val="0"/>
        <w:adjustRightInd/>
        <w:snapToGrid/>
        <w:spacing w:line="580" w:lineRule="exact"/>
        <w:ind w:firstLine="643" w:firstLineChars="200"/>
        <w:jc w:val="both"/>
        <w:textAlignment w:val="auto"/>
        <w:rPr>
          <w:rFonts w:ascii="Times New Roman" w:hAnsi="Times New Roman" w:eastAsia="楷体_GB2312"/>
          <w:b/>
          <w:bCs/>
          <w:sz w:val="32"/>
          <w:szCs w:val="32"/>
          <w:highlight w:val="none"/>
        </w:rPr>
      </w:pPr>
      <w:r>
        <w:rPr>
          <w:rFonts w:ascii="Times New Roman" w:hAnsi="Times New Roman" w:eastAsia="楷体_GB2312"/>
          <w:b/>
          <w:bCs/>
          <w:sz w:val="32"/>
          <w:szCs w:val="32"/>
          <w:highlight w:val="none"/>
        </w:rPr>
        <w:t>（三）瞪羚企业认定</w:t>
      </w:r>
    </w:p>
    <w:p w14:paraId="37234FB8">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1</w:t>
      </w:r>
      <w:r>
        <w:rPr>
          <w:rFonts w:hint="eastAsia" w:ascii="Times New Roman" w:hAnsi="Times New Roman" w:eastAsia="仿宋_GB2312"/>
          <w:sz w:val="32"/>
          <w:szCs w:val="32"/>
          <w:highlight w:val="none"/>
        </w:rPr>
        <w:t xml:space="preserve">. </w:t>
      </w:r>
      <w:r>
        <w:rPr>
          <w:rFonts w:ascii="Times New Roman" w:hAnsi="Times New Roman" w:eastAsia="仿宋_GB2312"/>
          <w:sz w:val="32"/>
          <w:szCs w:val="32"/>
          <w:highlight w:val="none"/>
        </w:rPr>
        <w:t>注册满3年，已建立健全财务制度，并实行独立核算的有效高新技术企业。</w:t>
      </w:r>
    </w:p>
    <w:p w14:paraId="4E89524B">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2</w:t>
      </w:r>
      <w:r>
        <w:rPr>
          <w:rFonts w:hint="eastAsia" w:ascii="Times New Roman" w:hAnsi="Times New Roman" w:eastAsia="仿宋_GB2312"/>
          <w:sz w:val="32"/>
          <w:szCs w:val="32"/>
          <w:highlight w:val="none"/>
        </w:rPr>
        <w:t xml:space="preserve">. </w:t>
      </w:r>
      <w:r>
        <w:rPr>
          <w:rFonts w:ascii="Times New Roman" w:hAnsi="Times New Roman" w:eastAsia="仿宋_GB2312"/>
          <w:sz w:val="32"/>
          <w:szCs w:val="32"/>
          <w:highlight w:val="none"/>
        </w:rPr>
        <w:t>产业领域符合国家和广西战略发展方向，企业主营业务（产品）属于国家重点支持的高新技术领域、战略性新兴产业领域或未来产业领域发展方向。</w:t>
      </w:r>
    </w:p>
    <w:p w14:paraId="1ED96033">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3</w:t>
      </w:r>
      <w:r>
        <w:rPr>
          <w:rFonts w:hint="eastAsia" w:ascii="Times New Roman" w:hAnsi="Times New Roman" w:eastAsia="仿宋_GB2312"/>
          <w:sz w:val="32"/>
          <w:szCs w:val="32"/>
          <w:highlight w:val="none"/>
        </w:rPr>
        <w:t xml:space="preserve">. </w:t>
      </w:r>
      <w:r>
        <w:rPr>
          <w:rFonts w:ascii="Times New Roman" w:hAnsi="Times New Roman" w:eastAsia="仿宋_GB2312"/>
          <w:sz w:val="32"/>
          <w:szCs w:val="32"/>
          <w:highlight w:val="none"/>
        </w:rPr>
        <w:t>企业具备良好的生产经营和信用状况，近三年内未发生重大安全、重大质量事故、严重失信行为等。</w:t>
      </w:r>
    </w:p>
    <w:p w14:paraId="59766217">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4</w:t>
      </w:r>
      <w:r>
        <w:rPr>
          <w:rFonts w:hint="eastAsia" w:ascii="Times New Roman" w:hAnsi="Times New Roman" w:eastAsia="仿宋_GB2312"/>
          <w:sz w:val="32"/>
          <w:szCs w:val="32"/>
          <w:highlight w:val="none"/>
        </w:rPr>
        <w:t xml:space="preserve">. </w:t>
      </w:r>
      <w:r>
        <w:rPr>
          <w:rFonts w:ascii="Times New Roman" w:hAnsi="Times New Roman" w:eastAsia="仿宋_GB2312"/>
          <w:sz w:val="32"/>
          <w:szCs w:val="32"/>
          <w:highlight w:val="none"/>
        </w:rPr>
        <w:t>企业经营规模和效益满足以下条件之一：</w:t>
      </w:r>
    </w:p>
    <w:p w14:paraId="4FCB2849">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（1）上年度销售收入在500万元</w:t>
      </w:r>
      <w:r>
        <w:rPr>
          <w:rFonts w:hint="eastAsia" w:ascii="Times New Roman" w:hAnsi="Times New Roman" w:eastAsia="仿宋_GB2312"/>
          <w:sz w:val="32"/>
          <w:szCs w:val="32"/>
          <w:highlight w:val="none"/>
        </w:rPr>
        <w:t>—</w:t>
      </w:r>
      <w:r>
        <w:rPr>
          <w:rFonts w:ascii="Times New Roman" w:hAnsi="Times New Roman" w:eastAsia="仿宋_GB2312"/>
          <w:sz w:val="32"/>
          <w:szCs w:val="32"/>
          <w:highlight w:val="none"/>
        </w:rPr>
        <w:t>2000万元（不含）的企业，近三年销售收入年均增长率不低于25%。</w:t>
      </w:r>
    </w:p>
    <w:p w14:paraId="7C7E2FA0">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（2）上年度销售收入在2000万元</w:t>
      </w:r>
      <w:r>
        <w:rPr>
          <w:rFonts w:hint="eastAsia" w:ascii="Times New Roman" w:hAnsi="Times New Roman" w:eastAsia="仿宋_GB2312"/>
          <w:sz w:val="32"/>
          <w:szCs w:val="32"/>
          <w:highlight w:val="none"/>
        </w:rPr>
        <w:t>—</w:t>
      </w:r>
      <w:r>
        <w:rPr>
          <w:rFonts w:ascii="Times New Roman" w:hAnsi="Times New Roman" w:eastAsia="仿宋_GB2312"/>
          <w:sz w:val="32"/>
          <w:szCs w:val="32"/>
          <w:highlight w:val="none"/>
        </w:rPr>
        <w:t>1亿元（不含）的企业，近三年销售收入年均增长率不低于20%。</w:t>
      </w:r>
    </w:p>
    <w:p w14:paraId="01DFF86D">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（3）上年度销售收入在1亿元</w:t>
      </w:r>
      <w:r>
        <w:rPr>
          <w:rFonts w:hint="eastAsia" w:ascii="Times New Roman" w:hAnsi="Times New Roman" w:eastAsia="仿宋_GB2312"/>
          <w:sz w:val="32"/>
          <w:szCs w:val="32"/>
          <w:highlight w:val="none"/>
        </w:rPr>
        <w:t>—</w:t>
      </w:r>
      <w:r>
        <w:rPr>
          <w:rFonts w:ascii="Times New Roman" w:hAnsi="Times New Roman" w:eastAsia="仿宋_GB2312"/>
          <w:sz w:val="32"/>
          <w:szCs w:val="32"/>
          <w:highlight w:val="none"/>
        </w:rPr>
        <w:t>10亿元（不含）的企业，近三年销售收入年均增长率不低于15%。</w:t>
      </w:r>
    </w:p>
    <w:p w14:paraId="13F5F8D2">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（4）上年度销售收入在10亿元以上的企业，近三年销售收入年均增长率不低于10%。</w:t>
      </w:r>
    </w:p>
    <w:p w14:paraId="607A4075">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5</w:t>
      </w:r>
      <w:r>
        <w:rPr>
          <w:rFonts w:hint="eastAsia" w:ascii="Times New Roman" w:hAnsi="Times New Roman" w:eastAsia="仿宋_GB2312"/>
          <w:sz w:val="32"/>
          <w:szCs w:val="32"/>
          <w:highlight w:val="none"/>
        </w:rPr>
        <w:t xml:space="preserve">. </w:t>
      </w:r>
      <w:r>
        <w:rPr>
          <w:rFonts w:ascii="Times New Roman" w:hAnsi="Times New Roman" w:eastAsia="仿宋_GB2312"/>
          <w:sz w:val="32"/>
          <w:szCs w:val="32"/>
          <w:highlight w:val="none"/>
        </w:rPr>
        <w:t>创新能力指标：</w:t>
      </w:r>
    </w:p>
    <w:p w14:paraId="32F7C17A">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（1）持续创新能力较强，上年度销售收入在1亿元（含）以上的企业，近三个会计年度平均研发经费投入强度不低于3%；销售收入在1亿元以下的企业，近三个会计年度平均研发经费投入强度不低于5%。</w:t>
      </w:r>
    </w:p>
    <w:p w14:paraId="57FA918E">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2）企业通过自主研发、受让、受赠、并购等方式，获得对其主要产品（服务）在技术上发挥核心支持作用的知识产权的所有权。拥有Ⅰ类有效知识产权1项（含）以上，包括发明专利（含国防专利）、植物新品种、国家级农作物品种、国家新药、国家一级中药保护品种、集成电路布图设计专有权等；或近3年获得的Ⅱ类有效知识产权6项（含）以上，包括实用新型专利、软件著作权。</w:t>
      </w:r>
    </w:p>
    <w:p w14:paraId="654748FE">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（3）企业自主建设且已被认定为市级（含）以上的技术创新中心、新型研发机构、重点实验室、企业技术中心等其中一类科技创新平台。</w:t>
      </w:r>
    </w:p>
    <w:p w14:paraId="601D414B">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（4）企业近3年主导或参与编制国家标准、行业标准、检测方法、技术规范等（非必要条件）。</w:t>
      </w:r>
    </w:p>
    <w:p w14:paraId="1C1DF52E">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ascii="Times New Roman" w:hAnsi="Times New Roman" w:eastAsia="楷体_GB2312"/>
          <w:b/>
          <w:bCs/>
          <w:sz w:val="32"/>
          <w:szCs w:val="32"/>
          <w:highlight w:val="none"/>
        </w:rPr>
      </w:pPr>
      <w:r>
        <w:rPr>
          <w:rFonts w:ascii="Times New Roman" w:hAnsi="Times New Roman" w:eastAsia="楷体_GB2312"/>
          <w:b/>
          <w:bCs/>
          <w:sz w:val="32"/>
          <w:szCs w:val="32"/>
          <w:highlight w:val="none"/>
        </w:rPr>
        <w:t>（四）科技型企业信息共享与信息核验</w:t>
      </w:r>
    </w:p>
    <w:p w14:paraId="4224C5C2">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在广西境内依法注册登记，具有独立法人资格，营业执照合法有效且在存续期内的科技型企业。</w:t>
      </w:r>
    </w:p>
    <w:p w14:paraId="29D566D6">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ascii="Times New Roman" w:hAnsi="Times New Roman" w:eastAsia="楷体_GB2312"/>
          <w:b/>
          <w:bCs/>
          <w:sz w:val="32"/>
          <w:szCs w:val="32"/>
          <w:highlight w:val="none"/>
        </w:rPr>
      </w:pPr>
      <w:r>
        <w:rPr>
          <w:rFonts w:ascii="Times New Roman" w:hAnsi="Times New Roman" w:eastAsia="楷体_GB2312"/>
          <w:b/>
          <w:bCs/>
          <w:sz w:val="32"/>
          <w:szCs w:val="32"/>
          <w:highlight w:val="none"/>
        </w:rPr>
        <w:t>（五）科技型企业政策扶持</w:t>
      </w:r>
    </w:p>
    <w:p w14:paraId="198B607D">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符合各级科技型企业创新扶持政策申报条件，完成资格认定或信息核验的企业。</w:t>
      </w:r>
    </w:p>
    <w:p w14:paraId="53B33E37">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黑体"/>
          <w:sz w:val="32"/>
          <w:szCs w:val="32"/>
          <w:highlight w:val="none"/>
        </w:rPr>
      </w:pPr>
      <w:r>
        <w:rPr>
          <w:rFonts w:ascii="Times New Roman" w:hAnsi="Times New Roman" w:eastAsia="黑体"/>
          <w:sz w:val="32"/>
          <w:szCs w:val="32"/>
          <w:highlight w:val="none"/>
        </w:rPr>
        <w:t>六、办理材料</w:t>
      </w:r>
    </w:p>
    <w:p w14:paraId="681EDE33">
      <w:pPr>
        <w:keepNext w:val="0"/>
        <w:keepLines w:val="0"/>
        <w:pageBreakBefore w:val="0"/>
        <w:widowControl w:val="0"/>
        <w:kinsoku/>
        <w:overflowPunct/>
        <w:topLinePunct w:val="0"/>
        <w:autoSpaceDE/>
        <w:autoSpaceDN/>
        <w:bidi w:val="0"/>
        <w:adjustRightInd/>
        <w:snapToGrid/>
        <w:spacing w:line="580" w:lineRule="exact"/>
        <w:ind w:firstLine="643" w:firstLineChars="200"/>
        <w:jc w:val="both"/>
        <w:textAlignment w:val="auto"/>
        <w:rPr>
          <w:rFonts w:ascii="Times New Roman" w:hAnsi="Times New Roman" w:eastAsia="楷体_GB2312"/>
          <w:b/>
          <w:bCs/>
          <w:sz w:val="32"/>
          <w:szCs w:val="32"/>
          <w:highlight w:val="none"/>
        </w:rPr>
      </w:pPr>
      <w:r>
        <w:rPr>
          <w:rFonts w:ascii="Times New Roman" w:hAnsi="Times New Roman" w:eastAsia="楷体_GB2312"/>
          <w:b/>
          <w:bCs/>
          <w:sz w:val="32"/>
          <w:szCs w:val="32"/>
          <w:highlight w:val="none"/>
        </w:rPr>
        <w:t>（一）</w:t>
      </w:r>
      <w:r>
        <w:rPr>
          <w:rFonts w:hint="eastAsia" w:ascii="Times New Roman" w:hAnsi="Times New Roman" w:eastAsia="楷体_GB2312"/>
          <w:b/>
          <w:bCs/>
          <w:sz w:val="32"/>
          <w:szCs w:val="32"/>
          <w:highlight w:val="none"/>
        </w:rPr>
        <w:t>共性材料</w:t>
      </w:r>
    </w:p>
    <w:p w14:paraId="1BDF5BD7">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广西科技型企业创新政</w:t>
      </w:r>
      <w:r>
        <w:rPr>
          <w:rFonts w:hint="eastAsia" w:ascii="仿宋_GB2312" w:hAnsi="仿宋_GB2312" w:eastAsia="仿宋_GB2312" w:cs="仿宋_GB2312"/>
          <w:sz w:val="32"/>
          <w:szCs w:val="32"/>
          <w:highlight w:val="none"/>
        </w:rPr>
        <w:t>策扶持“一件事”申</w:t>
      </w:r>
      <w:r>
        <w:rPr>
          <w:rFonts w:ascii="Times New Roman" w:hAnsi="Times New Roman" w:eastAsia="仿宋_GB2312"/>
          <w:sz w:val="32"/>
          <w:szCs w:val="32"/>
          <w:highlight w:val="none"/>
        </w:rPr>
        <w:t>请表。</w:t>
      </w:r>
    </w:p>
    <w:p w14:paraId="3246CE91">
      <w:pPr>
        <w:keepNext w:val="0"/>
        <w:keepLines w:val="0"/>
        <w:pageBreakBefore w:val="0"/>
        <w:widowControl w:val="0"/>
        <w:kinsoku/>
        <w:overflowPunct/>
        <w:topLinePunct w:val="0"/>
        <w:autoSpaceDE/>
        <w:autoSpaceDN/>
        <w:bidi w:val="0"/>
        <w:adjustRightInd/>
        <w:snapToGrid/>
        <w:spacing w:line="580" w:lineRule="exact"/>
        <w:ind w:firstLine="643" w:firstLineChars="200"/>
        <w:jc w:val="both"/>
        <w:textAlignment w:val="auto"/>
        <w:rPr>
          <w:rFonts w:ascii="Times New Roman" w:hAnsi="Times New Roman" w:eastAsia="楷体_GB2312"/>
          <w:b/>
          <w:bCs/>
          <w:sz w:val="32"/>
          <w:szCs w:val="32"/>
          <w:highlight w:val="none"/>
        </w:rPr>
      </w:pPr>
      <w:r>
        <w:rPr>
          <w:rFonts w:hint="eastAsia" w:ascii="Times New Roman" w:hAnsi="Times New Roman" w:eastAsia="楷体_GB2312"/>
          <w:b/>
          <w:bCs/>
          <w:sz w:val="32"/>
          <w:szCs w:val="32"/>
          <w:highlight w:val="none"/>
        </w:rPr>
        <w:t>（二）个性材料</w:t>
      </w:r>
    </w:p>
    <w:p w14:paraId="543E5484">
      <w:pPr>
        <w:keepNext w:val="0"/>
        <w:keepLines w:val="0"/>
        <w:pageBreakBefore w:val="0"/>
        <w:widowControl w:val="0"/>
        <w:kinsoku/>
        <w:overflowPunct/>
        <w:topLinePunct w:val="0"/>
        <w:autoSpaceDE/>
        <w:autoSpaceDN/>
        <w:bidi w:val="0"/>
        <w:adjustRightInd/>
        <w:snapToGrid/>
        <w:spacing w:line="580" w:lineRule="exact"/>
        <w:ind w:firstLine="643" w:firstLineChars="200"/>
        <w:jc w:val="both"/>
        <w:textAlignment w:val="auto"/>
        <w:rPr>
          <w:rFonts w:ascii="Times New Roman" w:hAnsi="Times New Roman" w:eastAsia="楷体_GB2312"/>
          <w:b/>
          <w:bCs/>
          <w:sz w:val="32"/>
          <w:szCs w:val="32"/>
          <w:highlight w:val="none"/>
        </w:rPr>
      </w:pPr>
      <w:r>
        <w:rPr>
          <w:rFonts w:hint="eastAsia" w:ascii="Times New Roman" w:hAnsi="Times New Roman" w:eastAsia="楷体_GB2312"/>
          <w:b/>
          <w:bCs/>
          <w:sz w:val="32"/>
          <w:szCs w:val="32"/>
          <w:highlight w:val="none"/>
        </w:rPr>
        <w:t xml:space="preserve">1. </w:t>
      </w:r>
      <w:r>
        <w:rPr>
          <w:rFonts w:ascii="Times New Roman" w:hAnsi="Times New Roman" w:eastAsia="仿宋_GB2312"/>
          <w:b/>
          <w:bCs/>
          <w:sz w:val="32"/>
          <w:szCs w:val="32"/>
          <w:highlight w:val="none"/>
        </w:rPr>
        <w:t>高新技术企业认定</w:t>
      </w:r>
    </w:p>
    <w:p w14:paraId="4A39B45D">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（1）</w:t>
      </w:r>
      <w:r>
        <w:rPr>
          <w:rFonts w:ascii="Times New Roman" w:hAnsi="Times New Roman" w:eastAsia="仿宋_GB2312"/>
          <w:sz w:val="32"/>
          <w:szCs w:val="32"/>
          <w:highlight w:val="none"/>
        </w:rPr>
        <w:t>《高新技术企业认定申请书》（在线打印并签名、加盖企业公章）；</w:t>
      </w:r>
    </w:p>
    <w:p w14:paraId="1723B5FF">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（2）</w:t>
      </w:r>
      <w:r>
        <w:rPr>
          <w:rFonts w:ascii="Times New Roman" w:hAnsi="Times New Roman" w:eastAsia="仿宋_GB2312"/>
          <w:sz w:val="32"/>
          <w:szCs w:val="32"/>
          <w:highlight w:val="none"/>
        </w:rPr>
        <w:t>证明企业依法成立的《营业执照》等相关注册登记证件的复印件；</w:t>
      </w:r>
    </w:p>
    <w:p w14:paraId="4966E0C5">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（3）</w:t>
      </w:r>
      <w:r>
        <w:rPr>
          <w:rFonts w:ascii="Times New Roman" w:hAnsi="Times New Roman" w:eastAsia="仿宋_GB2312"/>
          <w:sz w:val="32"/>
          <w:szCs w:val="32"/>
          <w:highlight w:val="none"/>
        </w:rPr>
        <w:t>知识产权相关材料（知识产权证书及反映技术水平的证明材料、参与制定标准情况等）、科研项目立项证明（已验收或结题项目需附验收或结题报告）、科技成果转化（总体情况与转化形式、应用成效的逐项说明）、研究开发组织管理（总体情况与四项指标符合情况的具体说明）等相关材料；</w:t>
      </w:r>
    </w:p>
    <w:p w14:paraId="0C468687">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（4）</w:t>
      </w:r>
      <w:r>
        <w:rPr>
          <w:rFonts w:ascii="Times New Roman" w:hAnsi="Times New Roman" w:eastAsia="仿宋_GB2312"/>
          <w:sz w:val="32"/>
          <w:szCs w:val="32"/>
          <w:highlight w:val="none"/>
        </w:rPr>
        <w:t>企业高新技术产品（服务）的关键技术和技术指标的具体说明，相关的生产批文、认证认可和资质证书、产品质量检验报告等材料；</w:t>
      </w:r>
    </w:p>
    <w:p w14:paraId="3A8D8530">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（5）</w:t>
      </w:r>
      <w:r>
        <w:rPr>
          <w:rFonts w:ascii="Times New Roman" w:hAnsi="Times New Roman" w:eastAsia="仿宋_GB2312"/>
          <w:sz w:val="32"/>
          <w:szCs w:val="32"/>
          <w:highlight w:val="none"/>
        </w:rPr>
        <w:t>企业职工和科技人员情况说明材料，包括在职、兼职和临时聘用人员人数、人员学历结构、科技人员名单及其工作岗位等；</w:t>
      </w:r>
    </w:p>
    <w:p w14:paraId="28F81A4B">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（6）</w:t>
      </w:r>
      <w:r>
        <w:rPr>
          <w:rFonts w:ascii="Times New Roman" w:hAnsi="Times New Roman" w:eastAsia="仿宋_GB2312"/>
          <w:sz w:val="32"/>
          <w:szCs w:val="32"/>
          <w:highlight w:val="none"/>
        </w:rPr>
        <w:t>经具有资质并符合本《工作指引》相关条件的中介机构出具的企业近三个会计年度（实际年限不足三年的按实际经营年限，下同）研究开发费用、近一个会计年度高新技术产品（服务）收入专项审计或鉴证报告，并附研究开发活动说明材料；</w:t>
      </w:r>
    </w:p>
    <w:p w14:paraId="60C86D6D">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（7）</w:t>
      </w:r>
      <w:r>
        <w:rPr>
          <w:rFonts w:ascii="Times New Roman" w:hAnsi="Times New Roman" w:eastAsia="仿宋_GB2312"/>
          <w:sz w:val="32"/>
          <w:szCs w:val="32"/>
          <w:highlight w:val="none"/>
        </w:rPr>
        <w:t>经具有资质的中介机构鉴证的企业近三个会计年度的财务会计报告（包括会计报表、会计报表附注和财务情况说明书）；</w:t>
      </w:r>
    </w:p>
    <w:p w14:paraId="047BA505">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（8）</w:t>
      </w:r>
      <w:r>
        <w:rPr>
          <w:rFonts w:ascii="Times New Roman" w:hAnsi="Times New Roman" w:eastAsia="仿宋_GB2312"/>
          <w:sz w:val="32"/>
          <w:szCs w:val="32"/>
          <w:highlight w:val="none"/>
        </w:rPr>
        <w:t>近三个会计年度企业所得税年度纳税申报表（包括主表及附表）。</w:t>
      </w:r>
    </w:p>
    <w:p w14:paraId="118D06F9">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2. 科技型中小企业评价</w:t>
      </w:r>
    </w:p>
    <w:p w14:paraId="02ECF50F">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《科技型中小企业信息表》与证明材料，无额外纸质材料。</w:t>
      </w:r>
    </w:p>
    <w:p w14:paraId="7CB9303A">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lang w:val="en"/>
        </w:rPr>
        <w:t xml:space="preserve">3. </w:t>
      </w:r>
      <w:r>
        <w:rPr>
          <w:rFonts w:hint="default" w:ascii="Times New Roman" w:hAnsi="Times New Roman" w:eastAsia="仿宋_GB2312" w:cs="Times New Roman"/>
          <w:b/>
          <w:bCs/>
          <w:sz w:val="32"/>
          <w:szCs w:val="32"/>
          <w:highlight w:val="none"/>
        </w:rPr>
        <w:t>瞪羚企业认定</w:t>
      </w:r>
    </w:p>
    <w:p w14:paraId="3EFF1363">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与高新技术企业材料互通互认，仅补充认定基本信息表、创新平台、标准编制等材料。</w:t>
      </w:r>
    </w:p>
    <w:p w14:paraId="0E7273B3">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lang w:val="en"/>
        </w:rPr>
        <w:t xml:space="preserve">4. </w:t>
      </w:r>
      <w:r>
        <w:rPr>
          <w:rFonts w:hint="default" w:ascii="Times New Roman" w:hAnsi="Times New Roman" w:eastAsia="仿宋_GB2312" w:cs="Times New Roman"/>
          <w:b/>
          <w:bCs/>
          <w:sz w:val="32"/>
          <w:szCs w:val="32"/>
          <w:highlight w:val="none"/>
        </w:rPr>
        <w:t>科技型企业信息共享与信息核验</w:t>
      </w:r>
    </w:p>
    <w:p w14:paraId="4B9F64C4">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无需提交材料，系统后台自动核验。</w:t>
      </w:r>
    </w:p>
    <w:p w14:paraId="06931CB2">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lang w:val="en"/>
        </w:rPr>
        <w:t xml:space="preserve">5. </w:t>
      </w:r>
      <w:r>
        <w:rPr>
          <w:rFonts w:hint="default" w:ascii="Times New Roman" w:hAnsi="Times New Roman" w:eastAsia="仿宋_GB2312" w:cs="Times New Roman"/>
          <w:b/>
          <w:bCs/>
          <w:sz w:val="32"/>
          <w:szCs w:val="32"/>
          <w:highlight w:val="none"/>
        </w:rPr>
        <w:t>科技型企业政策扶持</w:t>
      </w:r>
    </w:p>
    <w:p w14:paraId="11A65A7F">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无需提交材料，系统智能匹配推送。</w:t>
      </w:r>
    </w:p>
    <w:p w14:paraId="64110525">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ascii="Times New Roman" w:hAnsi="Times New Roman" w:eastAsia="黑体"/>
          <w:sz w:val="32"/>
          <w:szCs w:val="32"/>
          <w:highlight w:val="none"/>
        </w:rPr>
      </w:pPr>
      <w:r>
        <w:rPr>
          <w:rFonts w:ascii="Times New Roman" w:hAnsi="Times New Roman" w:eastAsia="黑体"/>
          <w:sz w:val="32"/>
          <w:szCs w:val="32"/>
          <w:highlight w:val="none"/>
        </w:rPr>
        <w:t>七、办理时限</w:t>
      </w:r>
    </w:p>
    <w:p w14:paraId="170740BF">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广西科技型企业创新政策扶持</w:t>
      </w:r>
      <w:r>
        <w:rPr>
          <w:rFonts w:hint="eastAsia" w:ascii="Times New Roman" w:hAnsi="Times New Roman" w:eastAsia="仿宋_GB2312"/>
          <w:sz w:val="32"/>
          <w:szCs w:val="32"/>
          <w:highlight w:val="none"/>
        </w:rPr>
        <w:t>“</w:t>
      </w:r>
      <w:r>
        <w:rPr>
          <w:rFonts w:ascii="Times New Roman" w:hAnsi="Times New Roman" w:eastAsia="仿宋_GB2312"/>
          <w:sz w:val="32"/>
          <w:szCs w:val="32"/>
          <w:highlight w:val="none"/>
        </w:rPr>
        <w:t>一件事</w:t>
      </w:r>
      <w:r>
        <w:rPr>
          <w:rFonts w:hint="eastAsia" w:ascii="Times New Roman" w:hAnsi="Times New Roman" w:eastAsia="仿宋_GB2312"/>
          <w:sz w:val="32"/>
          <w:szCs w:val="32"/>
          <w:highlight w:val="none"/>
        </w:rPr>
        <w:t>”</w:t>
      </w:r>
      <w:r>
        <w:rPr>
          <w:rFonts w:ascii="Times New Roman" w:hAnsi="Times New Roman" w:eastAsia="仿宋_GB2312"/>
          <w:sz w:val="32"/>
          <w:szCs w:val="32"/>
          <w:highlight w:val="none"/>
        </w:rPr>
        <w:t>承诺办结时限为</w:t>
      </w:r>
      <w:r>
        <w:rPr>
          <w:rFonts w:hint="eastAsia" w:ascii="Times New Roman" w:hAnsi="Times New Roman" w:eastAsia="仿宋_GB2312"/>
          <w:sz w:val="32"/>
          <w:szCs w:val="32"/>
          <w:highlight w:val="none"/>
        </w:rPr>
        <w:t>75</w:t>
      </w:r>
      <w:r>
        <w:rPr>
          <w:rFonts w:ascii="Times New Roman" w:hAnsi="Times New Roman" w:eastAsia="仿宋_GB2312"/>
          <w:sz w:val="32"/>
          <w:szCs w:val="32"/>
          <w:highlight w:val="none"/>
        </w:rPr>
        <w:t>个工作日</w:t>
      </w:r>
      <w:r>
        <w:rPr>
          <w:rFonts w:hint="eastAsia" w:ascii="Times New Roman" w:hAnsi="Times New Roman" w:eastAsia="仿宋_GB2312"/>
          <w:sz w:val="32"/>
          <w:szCs w:val="32"/>
          <w:highlight w:val="none"/>
        </w:rPr>
        <w:t xml:space="preserve">，其中：1. </w:t>
      </w:r>
      <w:r>
        <w:rPr>
          <w:rFonts w:ascii="Times New Roman" w:hAnsi="Times New Roman" w:eastAsia="仿宋_GB2312"/>
          <w:sz w:val="32"/>
          <w:szCs w:val="32"/>
          <w:highlight w:val="none"/>
        </w:rPr>
        <w:t>高新技术企业认</w:t>
      </w:r>
      <w:r>
        <w:rPr>
          <w:rFonts w:hint="eastAsia" w:ascii="Times New Roman" w:hAnsi="Times New Roman" w:eastAsia="仿宋_GB2312"/>
          <w:sz w:val="32"/>
          <w:szCs w:val="32"/>
          <w:highlight w:val="none"/>
        </w:rPr>
        <w:t>定承诺时限</w:t>
      </w:r>
      <w:r>
        <w:rPr>
          <w:rFonts w:ascii="Times New Roman" w:hAnsi="Times New Roman" w:eastAsia="仿宋_GB2312"/>
          <w:sz w:val="32"/>
          <w:szCs w:val="32"/>
          <w:highlight w:val="none"/>
        </w:rPr>
        <w:t>50个工作日；</w:t>
      </w:r>
      <w:r>
        <w:rPr>
          <w:rFonts w:hint="eastAsia" w:ascii="Times New Roman" w:hAnsi="Times New Roman" w:eastAsia="仿宋_GB2312"/>
          <w:sz w:val="32"/>
          <w:szCs w:val="32"/>
          <w:highlight w:val="none"/>
        </w:rPr>
        <w:t xml:space="preserve">2. </w:t>
      </w:r>
      <w:r>
        <w:rPr>
          <w:rFonts w:ascii="Times New Roman" w:hAnsi="Times New Roman" w:eastAsia="仿宋_GB2312"/>
          <w:sz w:val="32"/>
          <w:szCs w:val="32"/>
          <w:highlight w:val="none"/>
        </w:rPr>
        <w:t>科技型中小企业评价</w:t>
      </w:r>
      <w:r>
        <w:rPr>
          <w:rFonts w:hint="eastAsia" w:ascii="Times New Roman" w:hAnsi="Times New Roman" w:eastAsia="仿宋_GB2312"/>
          <w:sz w:val="32"/>
          <w:szCs w:val="32"/>
          <w:highlight w:val="none"/>
        </w:rPr>
        <w:t>承诺时限65</w:t>
      </w:r>
      <w:r>
        <w:rPr>
          <w:rFonts w:ascii="Times New Roman" w:hAnsi="Times New Roman" w:eastAsia="仿宋_GB2312"/>
          <w:sz w:val="32"/>
          <w:szCs w:val="32"/>
          <w:highlight w:val="none"/>
        </w:rPr>
        <w:t>个工作日；</w:t>
      </w:r>
      <w:r>
        <w:rPr>
          <w:rFonts w:hint="eastAsia" w:ascii="Times New Roman" w:hAnsi="Times New Roman" w:eastAsia="仿宋_GB2312"/>
          <w:sz w:val="32"/>
          <w:szCs w:val="32"/>
          <w:highlight w:val="none"/>
        </w:rPr>
        <w:t xml:space="preserve">3. </w:t>
      </w:r>
      <w:r>
        <w:rPr>
          <w:rFonts w:ascii="Times New Roman" w:hAnsi="Times New Roman" w:eastAsia="仿宋_GB2312"/>
          <w:sz w:val="32"/>
          <w:szCs w:val="32"/>
          <w:highlight w:val="none"/>
        </w:rPr>
        <w:t>瞪羚企业认定</w:t>
      </w:r>
      <w:r>
        <w:rPr>
          <w:rFonts w:hint="eastAsia" w:ascii="Times New Roman" w:hAnsi="Times New Roman" w:eastAsia="仿宋_GB2312"/>
          <w:sz w:val="32"/>
          <w:szCs w:val="32"/>
          <w:highlight w:val="none"/>
        </w:rPr>
        <w:t>承诺时限45</w:t>
      </w:r>
      <w:r>
        <w:rPr>
          <w:rFonts w:ascii="Times New Roman" w:hAnsi="Times New Roman" w:eastAsia="仿宋_GB2312"/>
          <w:sz w:val="32"/>
          <w:szCs w:val="32"/>
          <w:highlight w:val="none"/>
        </w:rPr>
        <w:t>个工作日；</w:t>
      </w:r>
      <w:r>
        <w:rPr>
          <w:rFonts w:hint="eastAsia" w:ascii="Times New Roman" w:hAnsi="Times New Roman" w:eastAsia="仿宋_GB2312"/>
          <w:sz w:val="32"/>
          <w:szCs w:val="32"/>
          <w:highlight w:val="none"/>
        </w:rPr>
        <w:t xml:space="preserve">4. </w:t>
      </w:r>
      <w:r>
        <w:rPr>
          <w:rFonts w:ascii="Times New Roman" w:hAnsi="Times New Roman" w:eastAsia="仿宋_GB2312"/>
          <w:sz w:val="32"/>
          <w:szCs w:val="32"/>
          <w:highlight w:val="none"/>
        </w:rPr>
        <w:t>科技型企业信息共享与信息核验</w:t>
      </w:r>
      <w:r>
        <w:rPr>
          <w:rFonts w:hint="eastAsia" w:ascii="Times New Roman" w:hAnsi="Times New Roman" w:eastAsia="仿宋_GB2312"/>
          <w:sz w:val="32"/>
          <w:szCs w:val="32"/>
          <w:highlight w:val="none"/>
        </w:rPr>
        <w:t>承诺时限7</w:t>
      </w:r>
      <w:r>
        <w:rPr>
          <w:rFonts w:ascii="Times New Roman" w:hAnsi="Times New Roman" w:eastAsia="仿宋_GB2312"/>
          <w:sz w:val="32"/>
          <w:szCs w:val="32"/>
          <w:highlight w:val="none"/>
        </w:rPr>
        <w:t>个工作日；</w:t>
      </w:r>
      <w:r>
        <w:rPr>
          <w:rFonts w:hint="eastAsia" w:ascii="Times New Roman" w:hAnsi="Times New Roman" w:eastAsia="仿宋_GB2312"/>
          <w:sz w:val="32"/>
          <w:szCs w:val="32"/>
          <w:highlight w:val="none"/>
        </w:rPr>
        <w:t xml:space="preserve">5. </w:t>
      </w:r>
      <w:r>
        <w:rPr>
          <w:rFonts w:ascii="Times New Roman" w:hAnsi="Times New Roman" w:eastAsia="仿宋_GB2312"/>
          <w:sz w:val="32"/>
          <w:szCs w:val="32"/>
          <w:highlight w:val="none"/>
        </w:rPr>
        <w:t>科技型企业惠企政策推送</w:t>
      </w:r>
      <w:r>
        <w:rPr>
          <w:rFonts w:hint="eastAsia" w:ascii="Times New Roman" w:hAnsi="Times New Roman" w:eastAsia="仿宋_GB2312"/>
          <w:sz w:val="32"/>
          <w:szCs w:val="32"/>
          <w:highlight w:val="none"/>
        </w:rPr>
        <w:t>承诺时限3</w:t>
      </w:r>
      <w:r>
        <w:rPr>
          <w:rFonts w:ascii="Times New Roman" w:hAnsi="Times New Roman" w:eastAsia="仿宋_GB2312"/>
          <w:sz w:val="32"/>
          <w:szCs w:val="32"/>
          <w:highlight w:val="none"/>
        </w:rPr>
        <w:t>个工作日。</w:t>
      </w:r>
    </w:p>
    <w:p w14:paraId="7F9C6667">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黑体"/>
          <w:sz w:val="32"/>
          <w:szCs w:val="32"/>
          <w:highlight w:val="none"/>
        </w:rPr>
      </w:pPr>
      <w:r>
        <w:rPr>
          <w:rFonts w:ascii="Times New Roman" w:hAnsi="Times New Roman" w:eastAsia="黑体"/>
          <w:sz w:val="32"/>
          <w:szCs w:val="32"/>
          <w:highlight w:val="none"/>
        </w:rPr>
        <w:t>八、线上线下办理方式</w:t>
      </w:r>
    </w:p>
    <w:p w14:paraId="64CB4F1B">
      <w:pPr>
        <w:keepNext w:val="0"/>
        <w:keepLines w:val="0"/>
        <w:pageBreakBefore w:val="0"/>
        <w:widowControl w:val="0"/>
        <w:kinsoku/>
        <w:overflowPunct/>
        <w:topLinePunct w:val="0"/>
        <w:autoSpaceDE/>
        <w:autoSpaceDN/>
        <w:bidi w:val="0"/>
        <w:adjustRightInd/>
        <w:snapToGrid/>
        <w:spacing w:line="580" w:lineRule="exact"/>
        <w:ind w:firstLine="643" w:firstLineChars="200"/>
        <w:jc w:val="both"/>
        <w:textAlignment w:val="auto"/>
        <w:rPr>
          <w:rFonts w:ascii="Times New Roman" w:hAnsi="Times New Roman" w:eastAsia="楷体_GB2312"/>
          <w:b/>
          <w:bCs/>
          <w:sz w:val="32"/>
          <w:szCs w:val="32"/>
          <w:highlight w:val="none"/>
        </w:rPr>
      </w:pPr>
      <w:r>
        <w:rPr>
          <w:rFonts w:ascii="Times New Roman" w:hAnsi="Times New Roman" w:eastAsia="楷体_GB2312"/>
          <w:b/>
          <w:bCs/>
          <w:sz w:val="32"/>
          <w:szCs w:val="32"/>
          <w:highlight w:val="none"/>
        </w:rPr>
        <w:t>（一）线上办理</w:t>
      </w:r>
    </w:p>
    <w:p w14:paraId="6D5CA3AB">
      <w:pPr>
        <w:keepNext w:val="0"/>
        <w:keepLines w:val="0"/>
        <w:pageBreakBefore w:val="0"/>
        <w:widowControl w:val="0"/>
        <w:kinsoku/>
        <w:wordWrap w:val="0"/>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1.</w:t>
      </w:r>
      <w:r>
        <w:rPr>
          <w:rFonts w:hint="eastAsia" w:ascii="Times New Roman" w:hAnsi="Times New Roman" w:eastAsia="仿宋_GB2312"/>
          <w:sz w:val="32"/>
          <w:szCs w:val="32"/>
          <w:highlight w:val="none"/>
        </w:rPr>
        <w:t xml:space="preserve"> </w:t>
      </w:r>
      <w:r>
        <w:rPr>
          <w:rFonts w:ascii="Times New Roman" w:hAnsi="Times New Roman" w:eastAsia="仿宋_GB2312"/>
          <w:sz w:val="32"/>
          <w:szCs w:val="32"/>
          <w:highlight w:val="none"/>
        </w:rPr>
        <w:t>办理入口：广西数字政务一体化平台（</w:t>
      </w:r>
      <w:r>
        <w:rPr>
          <w:highlight w:val="none"/>
        </w:rPr>
        <w:fldChar w:fldCharType="begin"/>
      </w:r>
      <w:r>
        <w:rPr>
          <w:highlight w:val="none"/>
        </w:rPr>
        <w:instrText xml:space="preserve"> HYPERLINK "https://zwfw.gxzf.gov.cn" \t "_blank" </w:instrText>
      </w:r>
      <w:r>
        <w:rPr>
          <w:highlight w:val="none"/>
        </w:rPr>
        <w:fldChar w:fldCharType="separate"/>
      </w:r>
      <w:r>
        <w:rPr>
          <w:rFonts w:ascii="Times New Roman" w:hAnsi="Times New Roman" w:eastAsia="仿宋_GB2312"/>
          <w:sz w:val="32"/>
          <w:szCs w:val="32"/>
          <w:highlight w:val="none"/>
        </w:rPr>
        <w:t>https://zwfw.gxzf.gov.cn</w:t>
      </w:r>
      <w:r>
        <w:rPr>
          <w:rFonts w:ascii="Times New Roman" w:hAnsi="Times New Roman" w:eastAsia="仿宋_GB2312"/>
          <w:sz w:val="32"/>
          <w:szCs w:val="32"/>
          <w:highlight w:val="none"/>
        </w:rPr>
        <w:fldChar w:fldCharType="end"/>
      </w:r>
      <w:r>
        <w:rPr>
          <w:rFonts w:ascii="Times New Roman" w:hAnsi="Times New Roman" w:eastAsia="仿宋_GB2312"/>
          <w:sz w:val="32"/>
          <w:szCs w:val="32"/>
          <w:highlight w:val="none"/>
        </w:rPr>
        <w:t>）</w:t>
      </w:r>
      <w:r>
        <w:rPr>
          <w:rFonts w:hint="eastAsia" w:ascii="Times New Roman" w:hAnsi="Times New Roman" w:eastAsia="仿宋_GB2312"/>
          <w:sz w:val="32"/>
          <w:szCs w:val="32"/>
          <w:highlight w:val="none"/>
        </w:rPr>
        <w:t>、</w:t>
      </w:r>
      <w:r>
        <w:rPr>
          <w:rFonts w:hint="eastAsia" w:ascii="仿宋_GB2312" w:hAnsi="仿宋_GB2312" w:eastAsia="仿宋_GB2312" w:cs="仿宋_GB2312"/>
          <w:sz w:val="32"/>
          <w:szCs w:val="32"/>
          <w:highlight w:val="none"/>
        </w:rPr>
        <w:t>“智桂通”移动端</w:t>
      </w:r>
      <w:r>
        <w:rPr>
          <w:rFonts w:hint="eastAsia" w:ascii="Times New Roman" w:hAnsi="Times New Roman" w:eastAsia="仿宋_GB2312"/>
          <w:sz w:val="32"/>
          <w:szCs w:val="32"/>
          <w:highlight w:val="none"/>
        </w:rPr>
        <w:t>“高效办成一件事”专区</w:t>
      </w:r>
      <w:r>
        <w:rPr>
          <w:rFonts w:ascii="Times New Roman" w:hAnsi="Times New Roman" w:eastAsia="仿宋_GB2312"/>
          <w:sz w:val="32"/>
          <w:szCs w:val="32"/>
          <w:highlight w:val="none"/>
        </w:rPr>
        <w:t>。</w:t>
      </w:r>
    </w:p>
    <w:p w14:paraId="180BC351">
      <w:pPr>
        <w:keepNext w:val="0"/>
        <w:keepLines w:val="0"/>
        <w:pageBreakBefore w:val="0"/>
        <w:widowControl w:val="0"/>
        <w:kinsoku/>
        <w:wordWrap w:val="0"/>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highlight w:val="none"/>
        </w:rPr>
      </w:pPr>
      <w:r>
        <w:rPr>
          <w:rFonts w:ascii="Times New Roman" w:hAnsi="Times New Roman" w:eastAsia="仿宋_GB2312"/>
          <w:sz w:val="32"/>
          <w:szCs w:val="32"/>
          <w:highlight w:val="none"/>
        </w:rPr>
        <w:t>2.</w:t>
      </w:r>
      <w:r>
        <w:rPr>
          <w:rFonts w:hint="eastAsia" w:ascii="Times New Roman" w:hAnsi="Times New Roman" w:eastAsia="仿宋_GB2312"/>
          <w:sz w:val="32"/>
          <w:szCs w:val="32"/>
          <w:highlight w:val="none"/>
        </w:rPr>
        <w:t xml:space="preserve"> </w:t>
      </w:r>
      <w:r>
        <w:rPr>
          <w:rFonts w:ascii="Times New Roman" w:hAnsi="Times New Roman" w:eastAsia="仿宋_GB2312"/>
          <w:sz w:val="32"/>
          <w:szCs w:val="32"/>
          <w:highlight w:val="none"/>
        </w:rPr>
        <w:t>办理流程：注册</w:t>
      </w:r>
      <w:r>
        <w:rPr>
          <w:rFonts w:hint="eastAsia" w:ascii="仿宋_GB2312" w:hAnsi="仿宋_GB2312" w:eastAsia="仿宋_GB2312" w:cs="仿宋_GB2312"/>
          <w:sz w:val="32"/>
          <w:szCs w:val="32"/>
          <w:highlight w:val="none"/>
        </w:rPr>
        <w:t>登录→一表申报→系统自动核验→补充上传电子材料→提交申请→线上服务窗口形式审查→分送部门并联审核→结果推送。</w:t>
      </w:r>
    </w:p>
    <w:p w14:paraId="1E05E2C1">
      <w:pPr>
        <w:keepNext w:val="0"/>
        <w:keepLines w:val="0"/>
        <w:pageBreakBefore w:val="0"/>
        <w:widowControl w:val="0"/>
        <w:kinsoku/>
        <w:overflowPunct/>
        <w:topLinePunct w:val="0"/>
        <w:autoSpaceDE/>
        <w:autoSpaceDN/>
        <w:bidi w:val="0"/>
        <w:adjustRightInd/>
        <w:snapToGrid/>
        <w:spacing w:line="580" w:lineRule="exact"/>
        <w:ind w:firstLine="643" w:firstLineChars="200"/>
        <w:jc w:val="both"/>
        <w:textAlignment w:val="auto"/>
        <w:rPr>
          <w:rFonts w:ascii="Times New Roman" w:hAnsi="Times New Roman" w:eastAsia="楷体_GB2312"/>
          <w:b/>
          <w:bCs/>
          <w:sz w:val="32"/>
          <w:szCs w:val="32"/>
          <w:highlight w:val="none"/>
        </w:rPr>
      </w:pPr>
      <w:r>
        <w:rPr>
          <w:rFonts w:ascii="Times New Roman" w:hAnsi="Times New Roman" w:eastAsia="楷体_GB2312"/>
          <w:b/>
          <w:bCs/>
          <w:sz w:val="32"/>
          <w:szCs w:val="32"/>
          <w:highlight w:val="none"/>
        </w:rPr>
        <w:t>（二）线下办理</w:t>
      </w:r>
    </w:p>
    <w:p w14:paraId="4BFA7078">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1.</w:t>
      </w:r>
      <w:r>
        <w:rPr>
          <w:rFonts w:hint="eastAsia" w:ascii="Times New Roman" w:hAnsi="Times New Roman" w:eastAsia="仿宋_GB2312"/>
          <w:sz w:val="32"/>
          <w:szCs w:val="32"/>
          <w:highlight w:val="none"/>
        </w:rPr>
        <w:t xml:space="preserve"> </w:t>
      </w:r>
      <w:r>
        <w:rPr>
          <w:rFonts w:ascii="Times New Roman" w:hAnsi="Times New Roman" w:eastAsia="仿宋_GB2312"/>
          <w:sz w:val="32"/>
          <w:szCs w:val="32"/>
          <w:highlight w:val="none"/>
        </w:rPr>
        <w:t>办理窗口：自治区、市、县（市、区）政务服务中心</w:t>
      </w:r>
      <w:r>
        <w:rPr>
          <w:rFonts w:hint="eastAsia" w:ascii="Times New Roman" w:hAnsi="Times New Roman" w:eastAsia="仿宋_GB2312"/>
          <w:sz w:val="32"/>
          <w:szCs w:val="32"/>
          <w:highlight w:val="none"/>
        </w:rPr>
        <w:t>综合</w:t>
      </w:r>
      <w:r>
        <w:rPr>
          <w:rFonts w:ascii="Times New Roman" w:hAnsi="Times New Roman" w:eastAsia="仿宋_GB2312"/>
          <w:sz w:val="32"/>
          <w:szCs w:val="32"/>
          <w:highlight w:val="none"/>
        </w:rPr>
        <w:t>服务窗口。</w:t>
      </w:r>
    </w:p>
    <w:p w14:paraId="208CF500">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highlight w:val="none"/>
        </w:rPr>
      </w:pPr>
      <w:r>
        <w:rPr>
          <w:rFonts w:ascii="Times New Roman" w:hAnsi="Times New Roman" w:eastAsia="仿宋_GB2312"/>
          <w:sz w:val="32"/>
          <w:szCs w:val="32"/>
          <w:highlight w:val="none"/>
        </w:rPr>
        <w:t>2.</w:t>
      </w:r>
      <w:r>
        <w:rPr>
          <w:rFonts w:hint="eastAsia" w:ascii="Times New Roman" w:hAnsi="Times New Roman" w:eastAsia="仿宋_GB2312"/>
          <w:sz w:val="32"/>
          <w:szCs w:val="32"/>
          <w:highlight w:val="none"/>
        </w:rPr>
        <w:t xml:space="preserve"> </w:t>
      </w:r>
      <w:r>
        <w:rPr>
          <w:rFonts w:hint="eastAsia" w:ascii="仿宋_GB2312" w:hAnsi="仿宋_GB2312" w:eastAsia="仿宋_GB2312" w:cs="仿宋_GB2312"/>
          <w:sz w:val="32"/>
          <w:szCs w:val="32"/>
          <w:highlight w:val="none"/>
        </w:rPr>
        <w:t>办理流程：窗口领取并填写统一申请表→系统自动核验→补充提交材料→提交申请→窗口工作人员形式审查→分送部门并联审核→结果推送。</w:t>
      </w:r>
    </w:p>
    <w:p w14:paraId="7E6A647A">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黑体"/>
          <w:sz w:val="32"/>
          <w:szCs w:val="32"/>
          <w:highlight w:val="none"/>
        </w:rPr>
      </w:pPr>
      <w:r>
        <w:rPr>
          <w:rFonts w:ascii="Times New Roman" w:hAnsi="Times New Roman" w:eastAsia="黑体"/>
          <w:sz w:val="32"/>
          <w:szCs w:val="32"/>
          <w:highlight w:val="none"/>
        </w:rPr>
        <w:t>九、结果获取方式</w:t>
      </w:r>
    </w:p>
    <w:p w14:paraId="4F0B2724">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hint="eastAsia" w:ascii="楷体_GB2312" w:hAnsi="楷体_GB2312" w:eastAsia="楷体_GB2312" w:cs="楷体_GB2312"/>
          <w:sz w:val="32"/>
          <w:szCs w:val="32"/>
          <w:highlight w:val="none"/>
        </w:rPr>
        <w:t>（一）线上获取：</w:t>
      </w:r>
      <w:r>
        <w:rPr>
          <w:rFonts w:ascii="Times New Roman" w:hAnsi="Times New Roman" w:eastAsia="仿宋_GB2312"/>
          <w:sz w:val="32"/>
          <w:szCs w:val="32"/>
          <w:highlight w:val="none"/>
        </w:rPr>
        <w:t>审批办结后，系统自动推送结果；</w:t>
      </w:r>
    </w:p>
    <w:p w14:paraId="6FCD49AD">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hint="eastAsia" w:ascii="楷体_GB2312" w:hAnsi="楷体_GB2312" w:eastAsia="楷体_GB2312" w:cs="楷体_GB2312"/>
          <w:sz w:val="32"/>
          <w:szCs w:val="32"/>
          <w:highlight w:val="none"/>
        </w:rPr>
        <w:t>（二）线下领取：</w:t>
      </w:r>
      <w:r>
        <w:rPr>
          <w:rFonts w:ascii="Times New Roman" w:hAnsi="Times New Roman" w:eastAsia="仿宋_GB2312"/>
          <w:sz w:val="32"/>
          <w:szCs w:val="32"/>
          <w:highlight w:val="none"/>
        </w:rPr>
        <w:t>经办人持身份证、授权委托书到窗口领取纸质文件；</w:t>
      </w:r>
    </w:p>
    <w:p w14:paraId="4EC757BE">
      <w:pPr>
        <w:keepNext w:val="0"/>
        <w:keepLines w:val="0"/>
        <w:pageBreakBefore w:val="0"/>
        <w:widowControl w:val="0"/>
        <w:kinsoku/>
        <w:overflowPunct/>
        <w:topLinePunct w:val="0"/>
        <w:autoSpaceDE/>
        <w:autoSpaceDN/>
        <w:bidi w:val="0"/>
        <w:adjustRightInd/>
        <w:snapToGrid/>
        <w:spacing w:line="580" w:lineRule="exact"/>
        <w:ind w:firstLine="640" w:firstLineChars="200"/>
        <w:jc w:val="both"/>
        <w:textAlignment w:val="auto"/>
        <w:rPr>
          <w:rFonts w:ascii="Times New Roman" w:hAnsi="Times New Roman" w:eastAsia="仿宋_GB2312"/>
          <w:sz w:val="32"/>
          <w:szCs w:val="32"/>
          <w:highlight w:val="none"/>
        </w:rPr>
      </w:pPr>
      <w:r>
        <w:rPr>
          <w:rFonts w:hint="eastAsia" w:ascii="楷体_GB2312" w:hAnsi="楷体_GB2312" w:eastAsia="楷体_GB2312" w:cs="楷体_GB2312"/>
          <w:sz w:val="32"/>
          <w:szCs w:val="32"/>
          <w:highlight w:val="none"/>
        </w:rPr>
        <w:t>（三）邮寄送达：</w:t>
      </w:r>
      <w:r>
        <w:rPr>
          <w:rFonts w:ascii="Times New Roman" w:hAnsi="Times New Roman" w:eastAsia="仿宋_GB2312"/>
          <w:sz w:val="32"/>
          <w:szCs w:val="32"/>
          <w:highlight w:val="none"/>
        </w:rPr>
        <w:t>申请时选择邮寄送达，服务窗口在审批办结后寄送至预留地址。</w:t>
      </w:r>
    </w:p>
    <w:p w14:paraId="235AA5E6">
      <w:pPr>
        <w:keepNext w:val="0"/>
        <w:keepLines w:val="0"/>
        <w:pageBreakBefore w:val="0"/>
        <w:widowControl w:val="0"/>
        <w:kinsoku/>
        <w:wordWrap/>
        <w:overflowPunct/>
        <w:topLinePunct w:val="0"/>
        <w:autoSpaceDE/>
        <w:autoSpaceDN/>
        <w:bidi w:val="0"/>
        <w:adjustRightInd/>
        <w:snapToGrid/>
        <w:spacing w:line="100" w:lineRule="exact"/>
        <w:textAlignment w:val="auto"/>
        <w:rPr>
          <w:highlight w:val="none"/>
        </w:rPr>
      </w:pPr>
      <w:bookmarkStart w:id="0" w:name="_GoBack"/>
      <w:bookmarkEnd w:id="0"/>
    </w:p>
    <w:sectPr>
      <w:footerReference r:id="rId3" w:type="default"/>
      <w:pgSz w:w="11906" w:h="16838"/>
      <w:pgMar w:top="2098" w:right="1531" w:bottom="1417" w:left="1531" w:header="851" w:footer="1417"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29FCE36-6AAA-471F-A0CC-D95AAF5C042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DD2DC452-5802-4ED5-A6B9-3D89139FB9E0}"/>
  </w:font>
  <w:font w:name="仿宋_GB2312">
    <w:panose1 w:val="02010609030101010101"/>
    <w:charset w:val="86"/>
    <w:family w:val="modern"/>
    <w:pitch w:val="default"/>
    <w:sig w:usb0="00000001" w:usb1="080E0000" w:usb2="00000000" w:usb3="00000000" w:csb0="00040000" w:csb1="00000000"/>
    <w:embedRegular r:id="rId3" w:fontKey="{E646C27A-782F-417B-AE0C-7033727FA62C}"/>
  </w:font>
  <w:font w:name="Tahoma">
    <w:panose1 w:val="020B0604030504040204"/>
    <w:charset w:val="00"/>
    <w:family w:val="swiss"/>
    <w:pitch w:val="default"/>
    <w:sig w:usb0="E1002EFF" w:usb1="C000605B" w:usb2="00000029" w:usb3="00000000" w:csb0="200101FF" w:csb1="20280000"/>
  </w:font>
  <w:font w:name="方正小标宋_GBK">
    <w:altName w:val="微软雅黑"/>
    <w:panose1 w:val="02000000000000000000"/>
    <w:charset w:val="86"/>
    <w:family w:val="script"/>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embedRegular r:id="rId4" w:fontKey="{705BB67D-E943-431A-9194-59F44884983A}"/>
  </w:font>
  <w:font w:name="楷体_GB2312">
    <w:panose1 w:val="02010609030101010101"/>
    <w:charset w:val="86"/>
    <w:family w:val="modern"/>
    <w:pitch w:val="default"/>
    <w:sig w:usb0="00000001" w:usb1="080E0000" w:usb2="00000000" w:usb3="00000000" w:csb0="00040000" w:csb1="00000000"/>
    <w:embedRegular r:id="rId5" w:fontKey="{EFD55F5D-6B4B-4DA1-BF4B-550AE017F8A0}"/>
  </w:font>
  <w:font w:name="方正仿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DB46C">
    <w:pPr>
      <w:pStyle w:val="5"/>
      <w:ind w:right="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DBE112">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default" w:ascii="Times New Roman" w:hAnsi="Times New Roman" w:cs="Times New Roman" w:eastAsiaTheme="minorEastAsia"/>
                              <w:sz w:val="28"/>
                              <w:szCs w:val="28"/>
                            </w:rPr>
                            <w:fldChar w:fldCharType="begin"/>
                          </w:r>
                          <w:r>
                            <w:rPr>
                              <w:rFonts w:hint="default" w:ascii="Times New Roman" w:hAnsi="Times New Roman" w:cs="Times New Roman" w:eastAsiaTheme="minorEastAsia"/>
                              <w:sz w:val="28"/>
                              <w:szCs w:val="28"/>
                            </w:rPr>
                            <w:instrText xml:space="preserve"> PAGE  \* MERGEFORMAT </w:instrText>
                          </w:r>
                          <w:r>
                            <w:rPr>
                              <w:rFonts w:hint="default" w:ascii="Times New Roman" w:hAnsi="Times New Roman" w:cs="Times New Roman" w:eastAsiaTheme="minorEastAsia"/>
                              <w:sz w:val="28"/>
                              <w:szCs w:val="28"/>
                            </w:rPr>
                            <w:fldChar w:fldCharType="separate"/>
                          </w:r>
                          <w:r>
                            <w:rPr>
                              <w:rFonts w:hint="default" w:ascii="Times New Roman" w:hAnsi="Times New Roman" w:cs="Times New Roman" w:eastAsiaTheme="minorEastAsia"/>
                              <w:sz w:val="28"/>
                              <w:szCs w:val="28"/>
                            </w:rPr>
                            <w:t>1</w:t>
                          </w:r>
                          <w:r>
                            <w:rPr>
                              <w:rFonts w:hint="default" w:ascii="Times New Roman" w:hAnsi="Times New Roman" w:cs="Times New Roman" w:eastAsia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1DDBE112">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default" w:ascii="Times New Roman" w:hAnsi="Times New Roman" w:cs="Times New Roman" w:eastAsiaTheme="minorEastAsia"/>
                        <w:sz w:val="28"/>
                        <w:szCs w:val="28"/>
                      </w:rPr>
                      <w:fldChar w:fldCharType="begin"/>
                    </w:r>
                    <w:r>
                      <w:rPr>
                        <w:rFonts w:hint="default" w:ascii="Times New Roman" w:hAnsi="Times New Roman" w:cs="Times New Roman" w:eastAsiaTheme="minorEastAsia"/>
                        <w:sz w:val="28"/>
                        <w:szCs w:val="28"/>
                      </w:rPr>
                      <w:instrText xml:space="preserve"> PAGE  \* MERGEFORMAT </w:instrText>
                    </w:r>
                    <w:r>
                      <w:rPr>
                        <w:rFonts w:hint="default" w:ascii="Times New Roman" w:hAnsi="Times New Roman" w:cs="Times New Roman" w:eastAsiaTheme="minorEastAsia"/>
                        <w:sz w:val="28"/>
                        <w:szCs w:val="28"/>
                      </w:rPr>
                      <w:fldChar w:fldCharType="separate"/>
                    </w:r>
                    <w:r>
                      <w:rPr>
                        <w:rFonts w:hint="default" w:ascii="Times New Roman" w:hAnsi="Times New Roman" w:cs="Times New Roman" w:eastAsiaTheme="minorEastAsia"/>
                        <w:sz w:val="28"/>
                        <w:szCs w:val="28"/>
                      </w:rPr>
                      <w:t>1</w:t>
                    </w:r>
                    <w:r>
                      <w:rPr>
                        <w:rFonts w:hint="default" w:ascii="Times New Roman" w:hAnsi="Times New Roman" w:cs="Times New Roman" w:eastAsia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1CE"/>
    <w:rsid w:val="00AF6569"/>
    <w:rsid w:val="00C331CE"/>
    <w:rsid w:val="00D14CE6"/>
    <w:rsid w:val="00E34F1F"/>
    <w:rsid w:val="040E27E3"/>
    <w:rsid w:val="1FF55671"/>
    <w:rsid w:val="20CA7543"/>
    <w:rsid w:val="22992878"/>
    <w:rsid w:val="24E52E0A"/>
    <w:rsid w:val="2736503A"/>
    <w:rsid w:val="299B333C"/>
    <w:rsid w:val="2C2649D5"/>
    <w:rsid w:val="2CCF6074"/>
    <w:rsid w:val="3AF607F5"/>
    <w:rsid w:val="3DA963FF"/>
    <w:rsid w:val="3EAB0813"/>
    <w:rsid w:val="3FFB8E27"/>
    <w:rsid w:val="44480B5C"/>
    <w:rsid w:val="44692FA3"/>
    <w:rsid w:val="47900335"/>
    <w:rsid w:val="483E46A7"/>
    <w:rsid w:val="4C4C3C7D"/>
    <w:rsid w:val="4D7FE537"/>
    <w:rsid w:val="4DFE6122"/>
    <w:rsid w:val="55767B09"/>
    <w:rsid w:val="64EE1C5B"/>
    <w:rsid w:val="67A7B2BE"/>
    <w:rsid w:val="6FD46C64"/>
    <w:rsid w:val="7BDE0318"/>
    <w:rsid w:val="7F9A432E"/>
    <w:rsid w:val="9757F469"/>
    <w:rsid w:val="97EE512C"/>
    <w:rsid w:val="9CFFA100"/>
    <w:rsid w:val="9D9F8064"/>
    <w:rsid w:val="A93D2BCB"/>
    <w:rsid w:val="AFD385C3"/>
    <w:rsid w:val="DEAE127A"/>
    <w:rsid w:val="DFF77A84"/>
    <w:rsid w:val="DFF81365"/>
    <w:rsid w:val="EAFF929D"/>
    <w:rsid w:val="EFBFD31F"/>
    <w:rsid w:val="EFFE5D2A"/>
    <w:rsid w:val="FBDB62A9"/>
    <w:rsid w:val="FDBEF21E"/>
    <w:rsid w:val="FF79BC85"/>
    <w:rsid w:val="FFE7DE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Default"/>
    <w:next w:val="3"/>
    <w:qFormat/>
    <w:uiPriority w:val="0"/>
    <w:pPr>
      <w:widowControl w:val="0"/>
      <w:autoSpaceDE w:val="0"/>
      <w:autoSpaceDN w:val="0"/>
      <w:adjustRightInd w:val="0"/>
    </w:pPr>
    <w:rPr>
      <w:rFonts w:hint="eastAsia" w:ascii="Times New Roman" w:hAnsi="Times New Roman" w:eastAsia="Times New Roman" w:cs="Times New Roman"/>
      <w:color w:val="000000"/>
      <w:sz w:val="24"/>
      <w:lang w:val="en-US" w:eastAsia="zh-CN" w:bidi="ar-SA"/>
    </w:rPr>
  </w:style>
  <w:style w:type="paragraph" w:styleId="3">
    <w:name w:val="index 6"/>
    <w:basedOn w:val="1"/>
    <w:next w:val="1"/>
    <w:qFormat/>
    <w:uiPriority w:val="0"/>
    <w:pPr>
      <w:ind w:left="2100"/>
    </w:pPr>
    <w:rPr>
      <w:rFonts w:ascii="Times New Roman" w:hAnsi="Times New Roman"/>
    </w:rPr>
  </w:style>
  <w:style w:type="paragraph" w:styleId="4">
    <w:name w:val="Body Text Indent"/>
    <w:basedOn w:val="1"/>
    <w:qFormat/>
    <w:uiPriority w:val="0"/>
    <w:pPr>
      <w:ind w:firstLine="560" w:firstLineChars="200"/>
    </w:pPr>
    <w:rPr>
      <w:rFonts w:ascii="仿宋_GB2312" w:eastAsia="仿宋_GB2312"/>
      <w:spacing w:val="-20"/>
      <w:sz w:val="32"/>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qFormat/>
    <w:uiPriority w:val="0"/>
    <w:rPr>
      <w:b/>
    </w:rPr>
  </w:style>
  <w:style w:type="character" w:styleId="11">
    <w:name w:val="page number"/>
    <w:basedOn w:val="9"/>
    <w:qFormat/>
    <w:uiPriority w:val="0"/>
  </w:style>
  <w:style w:type="paragraph" w:customStyle="1" w:styleId="12">
    <w:name w:val="Char Char Char Char"/>
    <w:basedOn w:val="1"/>
    <w:qFormat/>
    <w:uiPriority w:val="0"/>
    <w:rPr>
      <w:rFonts w:ascii="Tahoma" w:hAnsi="Tahoma"/>
      <w:sz w:val="24"/>
      <w:szCs w:val="20"/>
    </w:rPr>
  </w:style>
  <w:style w:type="paragraph" w:customStyle="1" w:styleId="13">
    <w:name w:val="Revision"/>
    <w:hidden/>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314</Words>
  <Characters>325</Characters>
  <Lines>350</Lines>
  <Paragraphs>334</Paragraphs>
  <TotalTime>4</TotalTime>
  <ScaleCrop>false</ScaleCrop>
  <LinksUpToDate>false</LinksUpToDate>
  <CharactersWithSpaces>325</CharactersWithSpaces>
  <Application>WPS Office_12.1.0.28040_F1E327BC-269C-435d-A152-05C5408002CA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2014-11-01T20:08:00Z</dcterms:created>
  <dc:creator>Administrator</dc:creator>
  <cp:lastModifiedBy>墨迹夏子</cp:lastModifiedBy>
  <cp:lastPrinted>2026-07-23T16:47:00Z</cp:lastPrinted>
  <dcterms:modified xsi:type="dcterms:W3CDTF">2026-07-24T09:04:54Z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2052-12.1.0.28040</vt:lpwstr>
  </property>
  <property fmtid="{D5CDD505-2E9C-101B-9397-08002B2CF9AE}" pid="3" name="KSOTemplateDocerSaveRecord">
    <vt:lpwstr>eyJoZGlkIjoiYzY5ZDFkYjAwZjNhYTM1NDBlZTczZjFiNGMyNzYxN2IiLCJ1c2VySWQiOiIzNjAwMjk3NDgifQ==</vt:lpwstr>
  </property>
  <property fmtid="{D5CDD505-2E9C-101B-9397-08002B2CF9AE}" pid="4" name="ICV">
    <vt:lpwstr>DCFC44D0F0C04C6C94E675BA2E196044_13</vt:lpwstr>
  </property>
</Properties>
</file>